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Importação passo a passo: DI e DUIMP</w:t>
      </w:r>
    </w:p>
    <w:p>
      <w:r>
        <w:t>Guia prático ZollKlar • Fontes verificadas em 07/10/2026</w:t>
      </w:r>
    </w:p>
    <w:p>
      <w:r>
        <w:t>Importar começa antes da compra: é preciso identificar a mercadoria, avaliar custos, verificar autorizações e definir a declaração aplicável. Em 07/10/2026, DI e DUIMP coexistem conforme o cronograma oficial e as condições da operação. Este guia apresenta o caminho da preparação à entrega, com orientações para empresas que importam insumos, produtos e máquinas. [1][4]</w:t>
      </w:r>
    </w:p>
    <w:p>
      <w:r>
        <w:t>Escopo: importações comerciais por DI e DUIMP. Remessas, bagagem e procedimentos simplificados não são detalhados neste guia.</w:t>
      </w:r>
    </w:p>
    <w:p>
      <w:pPr>
        <w:pStyle w:val="Heading1"/>
      </w:pPr>
      <w:r>
        <w:t>DI e DUIMP: o que muda no caminho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Etapa</w:t>
            </w:r>
          </w:p>
        </w:tc>
        <w:tc>
          <w:tcPr>
            <w:tcW w:type="dxa" w:w="3213"/>
          </w:tcPr>
          <w:p>
            <w:r>
              <w:t>DI</w:t>
            </w:r>
          </w:p>
        </w:tc>
        <w:tc>
          <w:tcPr>
            <w:tcW w:type="dxa" w:w="3213"/>
          </w:tcPr>
          <w:p>
            <w:r>
              <w:t>DUIMP</w:t>
            </w:r>
          </w:p>
        </w:tc>
      </w:tr>
      <w:tr>
        <w:tc>
          <w:tcPr>
            <w:tcW w:type="dxa" w:w="3213"/>
          </w:tcPr>
          <w:p>
            <w:r>
              <w:t>Sistema</w:t>
            </w:r>
          </w:p>
        </w:tc>
        <w:tc>
          <w:tcPr>
            <w:tcW w:type="dxa" w:w="3213"/>
          </w:tcPr>
          <w:p>
            <w:r>
              <w:t>Siscomex Importação</w:t>
            </w:r>
          </w:p>
        </w:tc>
        <w:tc>
          <w:tcPr>
            <w:tcW w:type="dxa" w:w="3213"/>
          </w:tcPr>
          <w:p>
            <w:r>
              <w:t>Portal Único Siscomex</w:t>
            </w:r>
          </w:p>
        </w:tc>
      </w:tr>
      <w:tr>
        <w:tc>
          <w:tcPr>
            <w:tcW w:type="dxa" w:w="3213"/>
          </w:tcPr>
          <w:p>
            <w:r>
              <w:t>Quando utilizar</w:t>
            </w:r>
          </w:p>
        </w:tc>
        <w:tc>
          <w:tcPr>
            <w:tcW w:type="dxa" w:w="3213"/>
          </w:tcPr>
          <w:p>
            <w:r>
              <w:t>Operações ainda admitidas no fluxo DI, inclusive exceções oficiais</w:t>
            </w:r>
          </w:p>
        </w:tc>
        <w:tc>
          <w:tcPr>
            <w:tcW w:type="dxa" w:w="3213"/>
          </w:tcPr>
          <w:p>
            <w:r>
              <w:t>Operações disponíveis, com obrigatoriedade conforme cronograma</w:t>
            </w:r>
          </w:p>
        </w:tc>
      </w:tr>
      <w:tr>
        <w:tc>
          <w:tcPr>
            <w:tcW w:type="dxa" w:w="3213"/>
          </w:tcPr>
          <w:p>
            <w:r>
              <w:t>Licenciamento</w:t>
            </w:r>
          </w:p>
        </w:tc>
        <w:tc>
          <w:tcPr>
            <w:tcW w:type="dxa" w:w="3213"/>
          </w:tcPr>
          <w:p>
            <w:r>
              <w:t>LI, quando exigida</w:t>
            </w:r>
          </w:p>
        </w:tc>
        <w:tc>
          <w:tcPr>
            <w:tcW w:type="dxa" w:w="3213"/>
          </w:tcPr>
          <w:p>
            <w:r>
              <w:t>LPCO, quando aplicável</w:t>
            </w:r>
          </w:p>
        </w:tc>
      </w:tr>
      <w:tr>
        <w:tc>
          <w:tcPr>
            <w:tcW w:type="dxa" w:w="3213"/>
          </w:tcPr>
          <w:p>
            <w:r>
              <w:t>Produtos</w:t>
            </w:r>
          </w:p>
        </w:tc>
        <w:tc>
          <w:tcPr>
            <w:tcW w:type="dxa" w:w="3213"/>
          </w:tcPr>
          <w:p>
            <w:r>
              <w:t>Dados informados na DI e suas adições</w:t>
            </w:r>
          </w:p>
        </w:tc>
        <w:tc>
          <w:tcPr>
            <w:tcW w:type="dxa" w:w="3213"/>
          </w:tcPr>
          <w:p>
            <w:r>
              <w:t>Itens apoiados no Catálogo de Produtos e operadores estrangeiros</w:t>
            </w:r>
          </w:p>
        </w:tc>
      </w:tr>
      <w:tr>
        <w:tc>
          <w:tcPr>
            <w:tcW w:type="dxa" w:w="3213"/>
          </w:tcPr>
          <w:p>
            <w:r>
              <w:t>Conferência</w:t>
            </w:r>
          </w:p>
        </w:tc>
        <w:tc>
          <w:tcPr>
            <w:tcW w:type="dxa" w:w="3213"/>
          </w:tcPr>
          <w:p>
            <w:r>
              <w:t>Canal aduaneiro e controles pertinentes</w:t>
            </w:r>
          </w:p>
        </w:tc>
        <w:tc>
          <w:tcPr>
            <w:tcW w:type="dxa" w:w="3213"/>
          </w:tcPr>
          <w:p>
            <w:r>
              <w:t>Canal único integra Receita e anuentes</w:t>
            </w:r>
          </w:p>
        </w:tc>
      </w:tr>
      <w:tr>
        <w:tc>
          <w:tcPr>
            <w:tcW w:type="dxa" w:w="3213"/>
          </w:tcPr>
          <w:p>
            <w:r>
              <w:t>Liberação</w:t>
            </w:r>
          </w:p>
        </w:tc>
        <w:tc>
          <w:tcPr>
            <w:tcW w:type="dxa" w:w="3213"/>
          </w:tcPr>
          <w:p>
            <w:r>
              <w:t>Desembaraço e demais requisitos, inclusive ICMS</w:t>
            </w:r>
          </w:p>
        </w:tc>
        <w:tc>
          <w:tcPr>
            <w:tcW w:type="dxa" w:w="3213"/>
          </w:tcPr>
          <w:p>
            <w:r>
              <w:t>Desembaraço e demais requisitos, inclusive ICMS no fluxo da UF</w:t>
            </w:r>
          </w:p>
        </w:tc>
      </w:tr>
    </w:tbl>
    <w:p>
      <w:r>
        <w:t>Fontes da comparação: [1][3][5][6][7][9].</w:t>
      </w:r>
    </w:p>
    <w:p>
      <w:r>
        <w:t>Atenção à transição: uma LI registrada após o desligamento da operação não assegura registro de DI, mesmo deferida. O cronograma traz condições específicas para LI anteriores, substituições, múltiplos anuentes e regimes. Consulte a regra completa antes de registrar. [1]</w:t>
      </w:r>
    </w:p>
    <w:p>
      <w:pPr>
        <w:pStyle w:val="Heading1"/>
      </w:pPr>
      <w:r>
        <w:t>Da preparação à entrega</w:t>
      </w:r>
    </w:p>
    <w:p>
      <w:pPr>
        <w:pStyle w:val="Heading2"/>
      </w:pPr>
      <w:r>
        <w:t>1. Prepare a empresa para importar</w:t>
      </w:r>
    </w:p>
    <w:p>
      <w:r>
        <w:t>Confira CNPJ, atividades, inscrições fiscais e estrutura contábil com seu contador. Defina quem será o importador e, se houver importação por conta e ordem ou encomenda, organize os contratos e as vinculações exigidas. A preparação societária não substitui a habilitação no Siscomex. [2][11]</w:t>
      </w:r>
    </w:p>
    <w:p>
      <w:pPr>
        <w:pStyle w:val="Heading2"/>
      </w:pPr>
      <w:r>
        <w:t>2. Verifique habilitação e representantes</w:t>
      </w:r>
    </w:p>
    <w:p>
      <w:r>
        <w:t>Confira a habilitação para operar no comércio exterior e os limites aplicáveis, além do credenciamento dos representantes. Utilize os acessos oficiais vigentes. O procedimento antigo de obter um código e solicitar software ao Serpro foi substituído no guia pelo fluxo atual de habilitação e representação. [2]</w:t>
      </w:r>
    </w:p>
    <w:p>
      <w:pPr>
        <w:pStyle w:val="Heading2"/>
      </w:pPr>
      <w:r>
        <w:t>3. Avalie o fornecedor e o produto</w:t>
      </w:r>
    </w:p>
    <w:p>
      <w:r>
        <w:t>Antes de pagar, verifique identificação do fornecedor, capacidade de fornecimento, referências e condições contratuais. Solicite especificações, amostras quando úteis e documentação técnica. Para químicos e aditivos, reúna composição, aplicação e ficha técnica; para máquinas, função, modelo, funcionamento e condição de nova ou usada. Recomendação de planejamento da ZollKlar.</w:t>
      </w:r>
    </w:p>
    <w:p>
      <w:pPr>
        <w:pStyle w:val="Heading2"/>
      </w:pPr>
      <w:r>
        <w:t>4. Analise a classificação fiscal</w:t>
      </w:r>
    </w:p>
    <w:p>
      <w:r>
        <w:t>Defina a NCM com base nas características reais da mercadoria, nas regras de classificação e nas notas aplicáveis. A indicação do fornecedor é um ponto de partida para análise. A NCM influencia tributos e controles, mas as características da operação também precisam ser avaliadas. [4][11]</w:t>
      </w:r>
    </w:p>
    <w:p>
      <w:pPr>
        <w:pStyle w:val="Heading2"/>
      </w:pPr>
      <w:r>
        <w:t>5. Negocie condições claras</w:t>
      </w:r>
    </w:p>
    <w:p>
      <w:r>
        <w:t>Peça a fatura proforma e confira produto, quantidade, preço, moeda, prazo, país de origem e condições de pagamento. Defina o Incoterm com local nomeado e edição acordada, além das responsabilidades por frete e seguro. Registre especificações e condições de garantia no pedido ou contrato. Recomendação da ZollKlar.</w:t>
      </w:r>
    </w:p>
    <w:p>
      <w:pPr>
        <w:pStyle w:val="Heading2"/>
      </w:pPr>
      <w:r>
        <w:t>6. Conte com a ZollKlar desde o planejamento</w:t>
      </w:r>
    </w:p>
    <w:p>
      <w:r>
        <w:t>Contrate a ZollKlar antes de confirmar a compra ou autorizar o embarque. Nossa equipe apoia a análise de documentos, classificação fiscal, exigências, custos estimados e fluxo DI ou DUIMP, além da coordenação do despacho e da logística conforme o serviço contratado. Antecipar essa análise ajuda a identificar divergências e pendências enquanto ainda há tempo para corrigi-las. Envie o produto, a proforma, a origem e o destino para receber uma proposta adequada à sua operação. O credenciamento do representante deve observar as regras da Receita Federal; as responsabilidades legais do importador permanecem. [2]</w:t>
      </w:r>
    </w:p>
    <w:p>
      <w:pPr>
        <w:pStyle w:val="Heading2"/>
      </w:pPr>
      <w:r>
        <w:t>7. Defina se a operação usa DI ou DUIMP</w:t>
      </w:r>
    </w:p>
    <w:p>
      <w:r>
        <w:t>Consulte o cronograma vigente, o fluxograma, as situações especiais e as operações indisponíveis, considerando modal, UF, regime e anuentes. A escolha não é livre quando a DUIMP é obrigatória ou está indisponível. Não decida apenas pela NCM ou por uma licença deferida. [1][4]</w:t>
      </w:r>
    </w:p>
    <w:p>
      <w:pPr>
        <w:pStyle w:val="Heading2"/>
      </w:pPr>
      <w:r>
        <w:t>8. Confira o tratamento administrativo</w:t>
      </w:r>
    </w:p>
    <w:p>
      <w:r>
        <w:t>No fluxo DI, providencie LI quando exigida. Na DUIMP, providencie LPCO quando aplicável e confira o modelo correto, documentos, validade e condições do anuente. Verifique se a autorização precisa ser deferida antes do embarque ou antes do registro. Não existe uma regra única de autorização pré-embarque para todas as importações. [3][4]</w:t>
      </w:r>
    </w:p>
    <w:p>
      <w:pPr>
        <w:pStyle w:val="Heading2"/>
      </w:pPr>
      <w:r>
        <w:t>9. Prepare o Catálogo de Produtos para DUIMP</w:t>
      </w:r>
    </w:p>
    <w:p>
      <w:r>
        <w:t>Cadastre e revise produtos e operadores estrangeiros utilizados na DUIMP: descrição, NCM, atributos e identificação dos envolvidos. A gestão depende da indicação de Gestor do Catálogo de Produtos. Faça a conferência técnica antes de reutilizar os dados; o catálogo não resolve sozinho a classificação fiscal. [5]</w:t>
      </w:r>
    </w:p>
    <w:p>
      <w:pPr>
        <w:pStyle w:val="Heading2"/>
      </w:pPr>
      <w:r>
        <w:t>10. Monte a estimativa de custo completo</w:t>
      </w:r>
    </w:p>
    <w:p>
      <w:r>
        <w:t>Considere mercadoria, frete, seguro, câmbio, tarifas bancárias, tributos e taxas aplicáveis, armazenagem, despesas do terminal, possíveis inspeções, despacho e transporte interno. Avalie II, IPI, PIS-Importação, Cofins-Importação, ICMS e, quando incidentes, AFRMM, defesa comercial e outros encargos. Calcule bases e alíquotas para a operação concreta; não use uma simples soma de percentuais. Recomendação de orçamento, sujeita ao tratamento vigente. [11]</w:t>
      </w:r>
    </w:p>
    <w:p>
      <w:pPr>
        <w:pStyle w:val="Heading2"/>
      </w:pPr>
      <w:r>
        <w:t>11. Confirme o pedido e a viabilidade</w:t>
      </w:r>
    </w:p>
    <w:p>
      <w:r>
        <w:t>Consolide as condições negociadas depois da análise técnica, documental, tributária e logística. Planeje recursos para pagamento ao fornecedor e despesas no Brasil, inclusive margem para variação cambial e permanência da carga. Recomendação da ZollKlar.</w:t>
      </w:r>
    </w:p>
    <w:p>
      <w:pPr>
        <w:pStyle w:val="Heading2"/>
      </w:pPr>
      <w:r>
        <w:t>12. Organize o pagamento internacional</w:t>
      </w:r>
    </w:p>
    <w:p>
      <w:r>
        <w:t>Defina pagamento antecipado, à vista, a prazo, cobrança ou carta de crédito conforme a negociação. Realize a operação pela instituição habilitada a prestar o serviço, observando a regulamentação cambial e seus requisitos documentais. O pagamento pode ocorrer em reais ou moeda estrangeira nas condições admitidas; não depende exclusivamente de um banco específico nem sempre acontece após o desembaraço. [10]</w:t>
      </w:r>
    </w:p>
    <w:p>
      <w:pPr>
        <w:pStyle w:val="Heading2"/>
      </w:pPr>
      <w:r>
        <w:t>13. Contrate e coordene o transporte</w:t>
      </w:r>
    </w:p>
    <w:p>
      <w:r>
        <w:t>Confirme coleta, reserva, rota, modalidade, peso, dimensões, embalagem e prazos. Avalie restrições para produtos perigosos, perecíveis e cargas especiais. No marítimo, revise condições de uso e devolução do contêiner. As responsabilidades seguem o contrato de compra e o Incoterm acordado. Recomendação logística da ZollKlar.</w:t>
      </w:r>
    </w:p>
    <w:p>
      <w:pPr>
        <w:pStyle w:val="Heading2"/>
      </w:pPr>
      <w:r>
        <w:t>14. Confira a cobertura do seguro</w:t>
      </w:r>
    </w:p>
    <w:p>
      <w:r>
        <w:t>Defina quem contratará o seguro conforme as condições negociadas e avalie cobertura, riscos, franquia, trajeto e vigência. A contratação pelo vendedor não dispensa a conferência da proteção efetiva da carga. Evite autorizar o transporte sem entender quais riscos estão cobertos. Recomendação da ZollKlar.</w:t>
      </w:r>
    </w:p>
    <w:p>
      <w:pPr>
        <w:pStyle w:val="Heading2"/>
      </w:pPr>
      <w:r>
        <w:t>15. Revise os documentos e autorize o embarque</w:t>
      </w:r>
    </w:p>
    <w:p>
      <w:r>
        <w:t>Confira fatura comercial, packing list, conhecimento de transporte (BL, AWB ou documento do modal) e certificados ou autorizações aplicáveis. Compare descrição, valores, quantidades, pesos, origem, partes e volumes. Autorize o embarque após atender aos requisitos que efetivamente devem ser cumpridos nessa etapa. Use documentos eletrônicos ou originais conforme a exigência do procedimento. [3][6][11]</w:t>
      </w:r>
    </w:p>
    <w:p>
      <w:pPr>
        <w:pStyle w:val="Heading2"/>
      </w:pPr>
      <w:r>
        <w:t>16. Acompanhe a carga e prepare o despacho</w:t>
      </w:r>
    </w:p>
    <w:p>
      <w:r>
        <w:t>Monitore embarque, chegada, dados do transporte, recepção e disponibilidade da carga no sistema aplicável. Organize documentos para Anexação/dossiê e vínculo com a declaração. O registro antes da chegada depende das hipóteses e condições admitidas; não presuma que toda DI ou DUIMP possa ter despacho antecipado. [6][11]</w:t>
      </w:r>
    </w:p>
    <w:p>
      <w:pPr>
        <w:pStyle w:val="Heading2"/>
      </w:pPr>
      <w:r>
        <w:t>17. Confira e registre DI ou DUIMP</w:t>
      </w:r>
    </w:p>
    <w:p>
      <w:r>
        <w:t>Na DI, prepare os dados e adições no Siscomex Importação e vincule as LI exigidas. Na DUIMP, prepare itens com o Catálogo de Produtos e os LPCO aplicáveis no Portal Único. Em ambos, revise valor aduaneiro, regime, fundamento legal, documentos e tributos antes do registro; faça o diagnóstico disponível e trate inconsistências. [3][5][6]</w:t>
      </w:r>
    </w:p>
    <w:p>
      <w:pPr>
        <w:pStyle w:val="Heading2"/>
      </w:pPr>
      <w:r>
        <w:t>18. Observe tributos e campos da Reforma Tributária</w:t>
      </w:r>
    </w:p>
    <w:p>
      <w:r>
        <w:t>Providencie recolhimentos pelos meios previstos para a declaração e o tributo. Na DUIMP, confira UF e município do local da operação de consumo e os componentes da base de CBS/IBS não obtidos automaticamente, como TSA, TFVS e TFFA, quando aplicáveis. Se os campos adicionais tiverem valores diferentes de zero, anexe a memória de cálculo ao dossiê vinculado à DUIMP pelo tipo “Memória de Cálculo”, sigla MEMOCALC. Quando não for possível individualizar componentes por item, o rateio considera itens tributados ou não: use peso líquido para o AFRMM e valor aduaneiro para os demais componentes, conforme art. 80, § 3º, e o manual RTC. O sistema define o cClassTrib a partir do fundamento legal. Em 2026, não recolha os totais de CBS/IBS apresentados na DUIMP; isso não dispensa os demais tributos nem deve ser projetado automaticamente para 2027. [8][11][12]</w:t>
      </w:r>
    </w:p>
    <w:p>
      <w:pPr>
        <w:pStyle w:val="Heading2"/>
      </w:pPr>
      <w:r>
        <w:t>19. Acompanhe conferências e exigências</w:t>
      </w:r>
    </w:p>
    <w:p>
      <w:r>
        <w:t>No verde, há dispensa da conferência de rotina; no amarelo, exame documental; no vermelho, exame documental e físico; no cinza, controle aduaneiro especial. Na DUIMP, o canal único reúne os resultados de risco da Receita e dos anuentes, prevalecendo o controle mais gravoso. Acompanhe exigências e conferências até a conclusão. Canal verde não elimina obrigações, controles posteriores ou requisitos para entrega. [7]</w:t>
      </w:r>
    </w:p>
    <w:p>
      <w:pPr>
        <w:pStyle w:val="Heading2"/>
      </w:pPr>
      <w:r>
        <w:t>20. Desembarace e organize a entrega</w:t>
      </w:r>
    </w:p>
    <w:p>
      <w:r>
        <w:t>Confirme desembaraço, conclusão das anuências, ICMS pago ou exonerado conforme o caso e liberação pelos sistemas competentes. O desembaraço federal, isoladamente, não autoriza toda retirada. Em São Paulo, siga os procedimentos específicos da SEFAZ/SP para DI ou DUIMP. Regularize terminal e transportador, organize a nota fiscal de entrada com a área fiscal e programe a retirada e a entrega. [7][9][11]</w:t>
      </w:r>
    </w:p>
    <w:p>
      <w:pPr>
        <w:pStyle w:val="Heading2"/>
      </w:pPr>
      <w:r>
        <w:t>21. Encerre e preserve o processo</w:t>
      </w:r>
    </w:p>
    <w:p>
      <w:r>
        <w:t>Concilie custos efetivos, pagamentos e recebimento físico. Arquive declaração, documentos comerciais e de transporte, autorizações, comprovantes tributários, registros cambiais e nota fiscal. Controle os prazos legais de guarda e eventuais exigências de regimes especiais com a contabilidade. Preserve também a documentação que sustenta NCM, valor e origem e acompanhe retificações necessárias. Recomendação de organização documental. [11]</w:t>
      </w:r>
    </w:p>
    <w:p>
      <w:pPr>
        <w:pStyle w:val="Heading1"/>
      </w:pPr>
      <w:r>
        <w:t>Antes de comprar ou embarcar</w:t>
      </w:r>
    </w:p>
    <w:p>
      <w:pPr>
        <w:pStyle w:val="ListBullet"/>
      </w:pPr>
      <w:r>
        <w:t>Produto e documentação técnica identificados; NCM analisada.</w:t>
      </w:r>
    </w:p>
    <w:p>
      <w:pPr>
        <w:pStyle w:val="ListBullet"/>
      </w:pPr>
      <w:r>
        <w:t>Habilitação e representantes conferidos.</w:t>
      </w:r>
    </w:p>
    <w:p>
      <w:pPr>
        <w:pStyle w:val="ListBullet"/>
      </w:pPr>
      <w:r>
        <w:t>Fluxo DI ou DUIMP confirmado no cronograma vigente.</w:t>
      </w:r>
    </w:p>
    <w:p>
      <w:pPr>
        <w:pStyle w:val="ListBullet"/>
      </w:pPr>
      <w:r>
        <w:t>LI/LPCO e requisitos pré-embarque verificados.</w:t>
      </w:r>
    </w:p>
    <w:p>
      <w:pPr>
        <w:pStyle w:val="ListBullet"/>
      </w:pPr>
      <w:r>
        <w:t>Catálogo revisado quando utilizada DUIMP.</w:t>
      </w:r>
    </w:p>
    <w:p>
      <w:pPr>
        <w:pStyle w:val="ListBullet"/>
      </w:pPr>
      <w:r>
        <w:t>Proforma, Incoterm, custos, frete, seguro e pagamento alinhados.</w:t>
      </w:r>
    </w:p>
    <w:p>
      <w:pPr>
        <w:pStyle w:val="ListBullet"/>
      </w:pPr>
      <w:r>
        <w:t>Documentos consistentes e recursos para o despacho planejados.</w:t>
      </w:r>
    </w:p>
    <w:p>
      <w:pPr>
        <w:pStyle w:val="ListBullet"/>
      </w:pPr>
      <w:r>
        <w:t>Na DUIMP, componentes RTC e rateio conferidos; memória MEMOCALC anexada quando houver valores adicionais diferentes de zero.</w:t>
      </w:r>
    </w:p>
    <w:p>
      <w:pPr>
        <w:pStyle w:val="Heading1"/>
      </w:pPr>
      <w:r>
        <w:t>Planeje sua próxima importação com a ZollKlar</w:t>
      </w:r>
    </w:p>
    <w:p>
      <w:r>
        <w:t>Envie sua proforma e os dados da mercadoria. A ZollKlar pode estruturar uma proposta de apoio ao planejamento, ao despacho e à logística conforme as necessidades do seu processo.</w:t>
      </w:r>
    </w:p>
    <w:p>
      <w:hyperlink r:id="rId11">
        <w:r>
          <w:rPr>
            <w:color w:val="315E1F"/>
          </w:rPr>
          <w:t>Fale com a ZollKlar</w:t>
        </w:r>
      </w:hyperlink>
    </w:p>
    <w:p>
      <w:r>
        <w:t>WhatsApp: +55 (11) 98976-6107 • eduardo.souza@zollklar.com.br • maite.brito@zollklar.com.br</w:t>
      </w:r>
    </w:p>
    <w:p>
      <w:pPr>
        <w:pStyle w:val="Heading1"/>
      </w:pPr>
      <w:r>
        <w:t>Registro de revisão</w:t>
      </w:r>
    </w:p>
    <w:p>
      <w:r>
        <w:t>Detalhamento da etapa 18 conforme o manual RTC da Receita atualizado em 06/10/2026 às 15h28: componentes adicionais, rateio por item e anexação da memória de cálculo MEMOCALC.</w:t>
      </w:r>
    </w:p>
    <w:p>
      <w:r>
        <w:t>Mantidas as orientações de não recolher os totais de CBS/IBS em 2026 e de consultar o cronograma DI/DUIMP por operação. A data do manual não estabelece nova vigência legal.</w:t>
      </w:r>
    </w:p>
    <w:p>
      <w:pPr>
        <w:pStyle w:val="Heading1"/>
      </w:pPr>
      <w:r>
        <w:t>Glossário</w:t>
      </w:r>
    </w:p>
    <w:p>
      <w:r>
        <w:t>DI: Declaração de Importação no Siscomex Importação.</w:t>
      </w:r>
    </w:p>
    <w:p>
      <w:r>
        <w:t>DUIMP: Declaração Única de Importação no Portal Único.</w:t>
      </w:r>
    </w:p>
    <w:p>
      <w:r>
        <w:t>LI / LPCO: Licença de Importação / Licenças, Permissões, Certificados e Outros Documentos.</w:t>
      </w:r>
    </w:p>
    <w:p>
      <w:r>
        <w:t>NCM: Nomenclatura Comum do Mercosul, utilizada na classificação fiscal.</w:t>
      </w:r>
    </w:p>
    <w:p>
      <w:r>
        <w:t>Invoice / Proforma: Fatura comercial / documento preliminar de negociação.</w:t>
      </w:r>
    </w:p>
    <w:p>
      <w:r>
        <w:t>Packing list: Romaneio de volumes e características da embalagem.</w:t>
      </w:r>
    </w:p>
    <w:p>
      <w:r>
        <w:t>BL / AWB: Conhecimento de transporte marítimo / aéreo.</w:t>
      </w:r>
    </w:p>
    <w:p>
      <w:r>
        <w:t>Incoterm: Regra contratual sobre entrega, custos e riscos entre comprador e vendedor.</w:t>
      </w:r>
    </w:p>
    <w:p>
      <w:r>
        <w:t>Desembaraço: Conclusão da etapa de despacho; a entrega exige atender também aos demais requisitos.</w:t>
      </w:r>
    </w:p>
    <w:p>
      <w:pPr>
        <w:pStyle w:val="Heading1"/>
      </w:pPr>
      <w:r>
        <w:t>Fontes oficiais</w:t>
      </w:r>
    </w:p>
    <w:p>
      <w:hyperlink r:id="rId12">
        <w:r>
          <w:rPr>
            <w:color w:val="315E1F"/>
          </w:rPr>
          <w:t>[1] Siscomex — Cronograma de Desligamento DI, atualizado em 02/10/2026</w:t>
        </w:r>
      </w:hyperlink>
    </w:p>
    <w:p>
      <w:hyperlink r:id="rId13">
        <w:r>
          <w:rPr>
            <w:color w:val="315E1F"/>
          </w:rPr>
          <w:t>[2] Receita Federal — Manual de Habilitação no Siscomex</w:t>
        </w:r>
      </w:hyperlink>
    </w:p>
    <w:p>
      <w:hyperlink r:id="rId14">
        <w:r>
          <w:rPr>
            <w:color w:val="315E1F"/>
          </w:rPr>
          <w:t>[3] Receita Federal — Licenciamento</w:t>
        </w:r>
      </w:hyperlink>
    </w:p>
    <w:p>
      <w:hyperlink r:id="rId15">
        <w:r>
          <w:rPr>
            <w:color w:val="315E1F"/>
          </w:rPr>
          <w:t>[4] Siscomex — Tratamento Administrativo na Importação</w:t>
        </w:r>
      </w:hyperlink>
    </w:p>
    <w:p>
      <w:hyperlink r:id="rId16">
        <w:r>
          <w:rPr>
            <w:color w:val="315E1F"/>
          </w:rPr>
          <w:t>[5] Receita Federal — Catálogo de Produtos: perguntas e respostas</w:t>
        </w:r>
      </w:hyperlink>
    </w:p>
    <w:p>
      <w:hyperlink r:id="rId17">
        <w:r>
          <w:rPr>
            <w:color w:val="315E1F"/>
          </w:rPr>
          <w:t>[6] Receita Federal — Declarar mercadorias importadas</w:t>
        </w:r>
      </w:hyperlink>
    </w:p>
    <w:p>
      <w:hyperlink r:id="rId18">
        <w:r>
          <w:rPr>
            <w:color w:val="315E1F"/>
          </w:rPr>
          <w:t>[7] Receita Federal — Gerenciamento de riscos</w:t>
        </w:r>
      </w:hyperlink>
    </w:p>
    <w:p>
      <w:hyperlink r:id="rId19">
        <w:r>
          <w:rPr>
            <w:color w:val="315E1F"/>
          </w:rPr>
          <w:t>[8] Receita Federal — Reforma Tributária do Consumo na DUIMP, atualizado em 06/10/2026 às 15h28</w:t>
        </w:r>
      </w:hyperlink>
    </w:p>
    <w:p>
      <w:hyperlink r:id="rId20">
        <w:r>
          <w:rPr>
            <w:color w:val="315E1F"/>
          </w:rPr>
          <w:t>[9] SEFAZ/SP — Procedimentos para Liberação de Importação</w:t>
        </w:r>
      </w:hyperlink>
    </w:p>
    <w:p>
      <w:hyperlink r:id="rId21">
        <w:r>
          <w:rPr>
            <w:color w:val="315E1F"/>
          </w:rPr>
          <w:t>[10] Banco Central — Resolução BCB nº 277, texto consolidado</w:t>
        </w:r>
      </w:hyperlink>
    </w:p>
    <w:p>
      <w:hyperlink r:id="rId22">
        <w:r>
          <w:rPr>
            <w:color w:val="315E1F"/>
          </w:rPr>
          <w:t>[11] Receita Federal — Manual Aduaneiro de Importação</w:t>
        </w:r>
      </w:hyperlink>
    </w:p>
    <w:p>
      <w:hyperlink r:id="rId23">
        <w:r>
          <w:rPr>
            <w:color w:val="315E1F"/>
          </w:rPr>
          <w:t>[12] Planalto — Decreto nº 12.955 de 29/04/2026, art. 80 e § 3º</w:t>
        </w:r>
      </w:hyperlink>
    </w:p>
    <w:p>
      <w:r>
        <w:t>Consulta: 07/10/2026. As recomendações comerciais, documentais e de planejamento são da ZollKlar. O enquadramento final exige análise da mercadoria e da operação. Documento original de 2009 revisado integralmente; contatos bancários e orientações obsoletas foram retirados.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contat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receitafederal/pt-br/assuntos/aduana-e-comercio-exterior/manuais/habilitacao" TargetMode="External"/><Relationship Id="rId14" Type="http://schemas.openxmlformats.org/officeDocument/2006/relationships/hyperlink" Target="https://www.gov.br/receitafederal/pt-br/assuntos/aduana-e-comercio-exterior/manuais/despacho-de-importacao/topicos-1/procedimentos-preliminares/licenciamento-da-importacao/licenciamento-da-importacao" TargetMode="External"/><Relationship Id="rId15" Type="http://schemas.openxmlformats.org/officeDocument/2006/relationships/hyperlink" Target="https://www.gov.br/siscomex/pt-br/informacoes/tratamento-administrativos/tratamento-administrativo-na-importacao" TargetMode="External"/><Relationship Id="rId16" Type="http://schemas.openxmlformats.org/officeDocument/2006/relationships/hyperlink" Target="https://www.gov.br/receitafederal/pt-br/assuntos/aduana-e-comercio-exterior/manuais/despacho-de-importacao/sistemas/duimp/elaboracao-da-duimp/catalogo-de-produtos/2024-10-04_p-r-catalogo-de-produtos.pdf" TargetMode="External"/><Relationship Id="rId17" Type="http://schemas.openxmlformats.org/officeDocument/2006/relationships/hyperlink" Target="https://www.gov.br/pt-br/servicos/declarar-mercadorias-importadas" TargetMode="External"/><Relationship Id="rId18" Type="http://schemas.openxmlformats.org/officeDocument/2006/relationships/hyperlink" Target="https://www.gov.br/receitafederal/pt-br/assuntos/aduana-e-comercio-exterior/manuais/despacho-de-importacao/topicos-1/despacho-de-importacao/etapas-do-despacho-aduaneiro-de-importacao/parametricao/selecao-parametrizada" TargetMode="External"/><Relationship Id="rId19" Type="http://schemas.openxmlformats.org/officeDocument/2006/relationships/hyperlink" Target="https://www.gov.br/receitafederal/pt-br/assuntos/aduana-e-comercio-exterior/manuais/despacho-de-importacao/sistemas/duimp/rtc" TargetMode="External"/><Relationship Id="rId20" Type="http://schemas.openxmlformats.org/officeDocument/2006/relationships/hyperlink" Target="https://portal.fazenda.sp.gov.br/servicos/comex/Paginas/Procedimentos_Liberacao_Importacao.aspx" TargetMode="External"/><Relationship Id="rId21" Type="http://schemas.openxmlformats.org/officeDocument/2006/relationships/hyperlink" Target="https://www.bcb.gov.br/estabilidadefinanceira/exibenormativo?numero=277&amp;tipo=Resolu%C3%A7%C3%A3o+BCB" TargetMode="External"/><Relationship Id="rId22" Type="http://schemas.openxmlformats.org/officeDocument/2006/relationships/hyperlink" Target="https://www.gov.br/receitafederal/pt-br/assuntos/aduana-e-comercio-exterior/manuais/despacho-de-importacao" TargetMode="External"/><Relationship Id="rId23" Type="http://schemas.openxmlformats.org/officeDocument/2006/relationships/hyperlink" Target="https://www.planalto.gov.br/ccivil_03/_ato2023-2026/2026/decreto/d12955.ht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