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Exportação passo a passo: do planejamento à averbação</w:t>
      </w:r>
    </w:p>
    <w:p>
      <w:r>
        <w:t>Guia prático ZollKlar • Fontes verificadas em 06/10/2026</w:t>
      </w:r>
    </w:p>
    <w:p>
      <w:r>
        <w:t>Exportar exige alinhar a venda internacional, os requisitos do produto, a documentação e a logística. No fluxo comercial por DU-E, o processo passa pelo Portal Único Siscomex e deve ser acompanhado até a averbação. Este guia organiza as etapas para sua empresa planejar a operação e identificar o que precisa ser confirmado antes de enviar a carga. [1][2][9]</w:t>
      </w:r>
    </w:p>
    <w:p>
      <w:r>
        <w:t>Escopo: exportações comerciais de mercadorias pelo fluxo DU-E. Remessas, bagagem, exportações fictas e regimes especiais podem exigir procedimentos próprios, não detalhados neste roteiro. As etapas podem ocorrer em paralelo conforme a operação.</w:t>
      </w:r>
    </w:p>
    <w:p>
      <w:pPr>
        <w:pStyle w:val="Heading1"/>
      </w:pPr>
      <w:r>
        <w:t>Os marcos da exportação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Marco</w:t>
            </w:r>
          </w:p>
        </w:tc>
        <w:tc>
          <w:tcPr>
            <w:tcW w:type="dxa" w:w="3213"/>
          </w:tcPr>
          <w:p>
            <w:r>
              <w:t>O que envolve</w:t>
            </w:r>
          </w:p>
        </w:tc>
        <w:tc>
          <w:tcPr>
            <w:tcW w:type="dxa" w:w="3213"/>
          </w:tcPr>
          <w:p>
            <w:r>
              <w:t>O que significa</w:t>
            </w:r>
          </w:p>
        </w:tc>
      </w:tr>
      <w:tr>
        <w:tc>
          <w:tcPr>
            <w:tcW w:type="dxa" w:w="3213"/>
          </w:tcPr>
          <w:p>
            <w:r>
              <w:t>Preparação</w:t>
            </w:r>
          </w:p>
        </w:tc>
        <w:tc>
          <w:tcPr>
            <w:tcW w:type="dxa" w:w="3213"/>
          </w:tcPr>
          <w:p>
            <w:r>
              <w:t>Produto, comprador, mercado, custos e condições de venda</w:t>
            </w:r>
          </w:p>
        </w:tc>
        <w:tc>
          <w:tcPr>
            <w:tcW w:type="dxa" w:w="3213"/>
          </w:tcPr>
          <w:p>
            <w:r>
              <w:t>Apoia a decisão comercial antes de assumir compromissos.</w:t>
            </w:r>
          </w:p>
        </w:tc>
      </w:tr>
      <w:tr>
        <w:tc>
          <w:tcPr>
            <w:tcW w:type="dxa" w:w="3213"/>
          </w:tcPr>
          <w:p>
            <w:r>
              <w:t>Registro da DU-E</w:t>
            </w:r>
          </w:p>
        </w:tc>
        <w:tc>
          <w:tcPr>
            <w:tcW w:type="dxa" w:w="3213"/>
          </w:tcPr>
          <w:p>
            <w:r>
              <w:t>Informações fiscais, comerciais e aduaneiras</w:t>
            </w:r>
          </w:p>
        </w:tc>
        <w:tc>
          <w:tcPr>
            <w:tcW w:type="dxa" w:w="3213"/>
          </w:tcPr>
          <w:p>
            <w:r>
              <w:t>Formaliza a declaração; não comprova sozinho a saída da mercadoria.</w:t>
            </w:r>
          </w:p>
        </w:tc>
      </w:tr>
      <w:tr>
        <w:tc>
          <w:tcPr>
            <w:tcW w:type="dxa" w:w="3213"/>
          </w:tcPr>
          <w:p>
            <w:r>
              <w:t>Desembaraço</w:t>
            </w:r>
          </w:p>
        </w:tc>
        <w:tc>
          <w:tcPr>
            <w:tcW w:type="dxa" w:w="3213"/>
          </w:tcPr>
          <w:p>
            <w:r>
              <w:t>Conclusão da etapa aduaneira de despacho</w:t>
            </w:r>
          </w:p>
        </w:tc>
        <w:tc>
          <w:tcPr>
            <w:tcW w:type="dxa" w:w="3213"/>
          </w:tcPr>
          <w:p>
            <w:r>
              <w:t>Permite seguir no fluxo aplicável, observados bloqueios e autorizações.</w:t>
            </w:r>
          </w:p>
        </w:tc>
      </w:tr>
      <w:tr>
        <w:tc>
          <w:tcPr>
            <w:tcW w:type="dxa" w:w="3213"/>
          </w:tcPr>
          <w:p>
            <w:r>
              <w:t>Embarque e registros</w:t>
            </w:r>
          </w:p>
        </w:tc>
        <w:tc>
          <w:tcPr>
            <w:tcW w:type="dxa" w:w="3213"/>
          </w:tcPr>
          <w:p>
            <w:r>
              <w:t>Movimentação e saída da carga, com dados no CCT</w:t>
            </w:r>
          </w:p>
        </w:tc>
        <w:tc>
          <w:tcPr>
            <w:tcW w:type="dxa" w:w="3213"/>
          </w:tcPr>
          <w:p>
            <w:r>
              <w:t>Devem refletir o que foi efetivamente exportado.</w:t>
            </w:r>
          </w:p>
        </w:tc>
      </w:tr>
      <w:tr>
        <w:tc>
          <w:tcPr>
            <w:tcW w:type="dxa" w:w="3213"/>
          </w:tcPr>
          <w:p>
            <w:r>
              <w:t>Averbação</w:t>
            </w:r>
          </w:p>
        </w:tc>
        <w:tc>
          <w:tcPr>
            <w:tcW w:type="dxa" w:w="3213"/>
          </w:tcPr>
          <w:p>
            <w:r>
              <w:t>Confirmação da exportação na DU-E</w:t>
            </w:r>
          </w:p>
        </w:tc>
        <w:tc>
          <w:tcPr>
            <w:tcW w:type="dxa" w:w="3213"/>
          </w:tcPr>
          <w:p>
            <w:r>
              <w:t>É a comprovação da exportação para fins fiscais, cambiais e comerciais.</w:t>
            </w:r>
          </w:p>
        </w:tc>
      </w:tr>
    </w:tbl>
    <w:p>
      <w:r>
        <w:t>Fontes dos marcos: [1][2][9].</w:t>
      </w:r>
    </w:p>
    <w:p>
      <w:pPr>
        <w:pStyle w:val="Heading1"/>
      </w:pPr>
      <w:r>
        <w:t>Da preparação ao encerramento</w:t>
      </w:r>
    </w:p>
    <w:p>
      <w:pPr>
        <w:pStyle w:val="Heading2"/>
      </w:pPr>
      <w:r>
        <w:t>1. Prepare a empresa e defina a operação</w:t>
      </w:r>
    </w:p>
    <w:p>
      <w:r>
        <w:t>Confira CNPJ, atividades, estrutura fiscal e capacidade de atender a venda com sua contabilidade. Defina o exportador e a forma da operação: venda direta, atuação de comercial exportadora ou outro arranjo admitido. Exportação definitiva, temporária e operações sem cobertura cambial têm enquadramentos diferentes; a documentação deve refletir o caso real. [1][2]</w:t>
      </w:r>
    </w:p>
    <w:p>
      <w:pPr>
        <w:pStyle w:val="Heading2"/>
      </w:pPr>
      <w:r>
        <w:t>2. Confira habilitação e representação</w:t>
      </w:r>
    </w:p>
    <w:p>
      <w:r>
        <w:t>Verifique a habilitação para atuar no Siscomex quando exigida e o credenciamento de quem representará a empresa. Organize os acessos oficiais e poderes necessários antes do registro. A habilitação da empresa e o credenciamento do representante são providências distintas; confira também eventuais hipóteses de dispensa aplicáveis. [3]</w:t>
      </w:r>
    </w:p>
    <w:p>
      <w:pPr>
        <w:pStyle w:val="Heading2"/>
      </w:pPr>
      <w:r>
        <w:t>3. Avalie o comprador e o mercado de destino</w:t>
      </w:r>
    </w:p>
    <w:p>
      <w:r>
        <w:t>Verifique identificação, referências e capacidade de pagamento do comprador. Solicite confirmação das condições de importação no destino, incluindo registros, certificações, rotulagem, normas técnicas, requisitos sanitários e restrições comerciais. As exigências brasileiras não substituem as regras do país comprador. Recomendação de planejamento da ZollKlar.</w:t>
      </w:r>
    </w:p>
    <w:p>
      <w:pPr>
        <w:pStyle w:val="Heading2"/>
      </w:pPr>
      <w:r>
        <w:t>4. Identifique a mercadoria e analise a NCM</w:t>
      </w:r>
    </w:p>
    <w:p>
      <w:r>
        <w:t>Reúna descrição técnica, composição, função, aplicação, modelo e demais características. Analise a classificação fiscal antes de emitir documentos. Para químicos e aditivos, organize composição e fichas técnicas; para máquinas, identifique função, modelo e características de operação. Confira também a correspondência da classificação utilizada pelo comprador no destino. [4]</w:t>
      </w:r>
    </w:p>
    <w:p>
      <w:pPr>
        <w:pStyle w:val="Heading2"/>
      </w:pPr>
      <w:r>
        <w:t>5. Conte com a ZollKlar desde a negociação</w:t>
      </w:r>
    </w:p>
    <w:p>
      <w:r>
        <w:t>Contrate a ZollKlar antes de confirmar as condições de venda ou programar o embarque. Nossa equipe pode apoiar a análise documental, as exigências, os custos estimados, a preparação da DU-E e a coordenação do despacho e da logística conforme os serviços contratados. Isso ajuda a identificar pendências enquanto ainda há tempo para ajustar documentos e prazos. Envie produto, quantidade, destino e condições de venda para receber uma proposta adequada à sua operação. A atuação do representante observa a legislação e não elimina as responsabilidades do exportador. [2][3]</w:t>
      </w:r>
    </w:p>
    <w:p>
      <w:pPr>
        <w:pStyle w:val="Heading2"/>
      </w:pPr>
      <w:r>
        <w:t>6. Forme o preço e defina o Incoterm</w:t>
      </w:r>
    </w:p>
    <w:p>
      <w:r>
        <w:t>Considere produção, embalagem, transporte interno, despesas no terminal, despacho, certificações, frete e seguro sob sua responsabilidade, tarifas financeiras, câmbio e margem. Defina Incoterm com local nomeado e edição acordada, deixando claro quem assume cada custo e risco. Avalie se as obrigações no destino são compatíveis com a capacidade da empresa. Recomendação comercial da ZollKlar.</w:t>
      </w:r>
    </w:p>
    <w:p>
      <w:pPr>
        <w:pStyle w:val="Heading2"/>
      </w:pPr>
      <w:r>
        <w:t>7. Formalize a venda e a forma de recebimento</w:t>
      </w:r>
    </w:p>
    <w:p>
      <w:r>
        <w:t>Registre produto, especificações, quantidade, preço, moeda, prazo de entrega, garantias e condições de pagamento na proforma e no pedido ou contrato. Defina recebimento antecipado, à vista, a prazo, cobrança documentária ou carta de crédito conforme o risco comercial. Alinhe com a instituição prestadora do serviço cambial os documentos e procedimentos exigidos. O recebimento pode ocorrer em momento diferente do embarque. [11]</w:t>
      </w:r>
    </w:p>
    <w:p>
      <w:pPr>
        <w:pStyle w:val="Heading2"/>
      </w:pPr>
      <w:r>
        <w:t>8. Verifique tratamento administrativo e LPCO</w:t>
      </w:r>
    </w:p>
    <w:p>
      <w:r>
        <w:t>Consulte as tabelas, atributos e modelos oficiais de exportação para a mercadoria e a operação. Quando houver controle administrativo, solicite o LPCO correto, acompanhe exigências e confira prazo, quantidade, saldo e possibilidade de uso em mais de uma DU-E. Verifique a etapa em que cada autorização deve estar concluída; não presuma que todo LPCO segue o mesmo prazo. A licença brasileira não substitui autorizações do importador no destino. [4][5]</w:t>
      </w:r>
    </w:p>
    <w:p>
      <w:pPr>
        <w:pStyle w:val="Heading2"/>
      </w:pPr>
      <w:r>
        <w:t>9. Avalie origem e regimes aplicáveis</w:t>
      </w:r>
    </w:p>
    <w:p>
      <w:r>
        <w:t>Quando houver acordo comercial, confira se o produto atende às regras de origem e qual prova é admitida: certificado ou declaração, conforme o acordo. Ser fabricado no Brasil não assegura, por si só, preferência tarifária. Para drawback, avalie modalidade, ato concessório, vínculos e compromissos antes de considerar o benefício no orçamento. Não trate incentivos como automáticos. [10][12]</w:t>
      </w:r>
    </w:p>
    <w:p>
      <w:pPr>
        <w:pStyle w:val="Heading2"/>
      </w:pPr>
      <w:r>
        <w:t>10. Prepare a mercadoria e as embalagens</w:t>
      </w:r>
    </w:p>
    <w:p>
      <w:r>
        <w:t>Organize produção, inspeção, identificação de volumes, pesos, dimensões e proteção da carga. Confirme requisitos de embalagem, marcação, conservação e segurança para o produto e o destino. Cargas perigosas, perecíveis ou especiais exigem alinhamento prévio com transportador e intervenientes. Registre o resultado da conferência antes da coleta. Recomendação logística da ZollKlar.</w:t>
      </w:r>
    </w:p>
    <w:p>
      <w:pPr>
        <w:pStyle w:val="Heading2"/>
      </w:pPr>
      <w:r>
        <w:t>11. Coordene frete, seguro e prazos</w:t>
      </w:r>
    </w:p>
    <w:p>
      <w:r>
        <w:t>Defina modal, rota, coleta, reserva e local de entrega conforme a venda. Confirme cut-offs de carga e documentos, disponibilidade de equipamento, custos na origem e destino e responsabilidades pelo seguro. Revise cobertura, riscos e vigência; não conclua que a carga está protegida apenas porque há um Incoterm no contrato. Recomendação da ZollKlar.</w:t>
      </w:r>
    </w:p>
    <w:p>
      <w:pPr>
        <w:pStyle w:val="Heading2"/>
      </w:pPr>
      <w:r>
        <w:t>12. Emita e confira a documentação</w:t>
      </w:r>
    </w:p>
    <w:p>
      <w:r>
        <w:t>Organize NF-e, fatura comercial, packing list, certificados e documentos exigidos pela operação. Com a área fiscal, confira CFOP, NCM, unidades, quantidades, destinatário e eventuais notas referenciadas. A DU-E normalmente aproveita os dados da NF-e; erros fiscais podem afetar a declaração. Dispensa de nota fiscal só se aplica nas hipóteses legais. Invoice e NF-e têm funções distintas e devem ser coerentes. [2][6][13]</w:t>
      </w:r>
    </w:p>
    <w:p>
      <w:pPr>
        <w:pStyle w:val="Heading2"/>
      </w:pPr>
      <w:r>
        <w:t>13. Elabore, confira e registre a DU-E</w:t>
      </w:r>
    </w:p>
    <w:p>
      <w:r>
        <w:t>Preencha exportador, declarante, locais de despacho e embarque, países, valores, enquadramento e demais dados da operação. Vincule notas, LPCO e atos concessórios quando aplicáveis. Revise os itens e trate erros apontados pelo sistema antes do registro. Confira eventual Imposto de Exportação conforme produto e norma vigente; não generalize que toda exportação está livre de tributos. [4][6]</w:t>
      </w:r>
    </w:p>
    <w:p>
      <w:pPr>
        <w:pStyle w:val="Heading2"/>
      </w:pPr>
      <w:r>
        <w:t>14. Acompanhe recepção e apresentação para despacho</w:t>
      </w:r>
    </w:p>
    <w:p>
      <w:r>
        <w:t>Alinhe a entrega ao recinto e confira a recepção da carga no CCT, conforme o documento e o fluxo admitidos. A apresentação da carga para despacho depende das condições previstas para a operação. A chegada física ao terminal não substitui o registro correto da recepção; acompanhe dados, saldos e eventuais divergências entre carga, notas e declaração. [1][7]</w:t>
      </w:r>
    </w:p>
    <w:p>
      <w:pPr>
        <w:pStyle w:val="Heading2"/>
      </w:pPr>
      <w:r>
        <w:t>15. Atenda à conferência aduaneira</w:t>
      </w:r>
    </w:p>
    <w:p>
      <w:r>
        <w:t>Na DU-E, os canais são verde, laranja e vermelho. No verde há desembaraço automático com dispensa de exame documental e físico de rotina; no laranja, análise documental; no vermelho, análise documental e verificação física. Acompanhe exigências, bloqueios e controles dos anuentes. A fiscalização pode atuar diante de indícios de irregularidade, independentemente do canal. [8]</w:t>
      </w:r>
    </w:p>
    <w:p>
      <w:pPr>
        <w:pStyle w:val="Heading2"/>
      </w:pPr>
      <w:r>
        <w:t>16. Confirme desembaraço e condições de embarque</w:t>
      </w:r>
    </w:p>
    <w:p>
      <w:r>
        <w:t>Após a conclusão do despacho, confira a situação da DU-E e as autorizações aplicáveis antes de prosseguir com a saída. Se houver trânsito aduaneiro entre despacho e embarque, acompanhe seu início, movimentação e conclusão. Procedimentos de embarque antecipado dependem de requisitos próprios; não são uma alternativa livre para qualquer carga. [1][8]</w:t>
      </w:r>
    </w:p>
    <w:p>
      <w:pPr>
        <w:pStyle w:val="Heading2"/>
      </w:pPr>
      <w:r>
        <w:t>17. Confira embarque, transporte e documentos ao comprador</w:t>
      </w:r>
    </w:p>
    <w:p>
      <w:r>
        <w:t>Monitore o embarque ou a transposição de fronteira e os registros de transporte no CCT. Confira conhecimento, pesos, volumes, destino e dados comerciais. Envie a documentação ao comprador ou à instituição intermediária conforme as condições de pagamento e as exigências do destino, respeitando o formato e o momento acordados. Registros incompletos podem impedir a conclusão da operação. [9][13]</w:t>
      </w:r>
    </w:p>
    <w:p>
      <w:pPr>
        <w:pStyle w:val="Heading2"/>
      </w:pPr>
      <w:r>
        <w:t>18. Acompanhe a averbação da DU-E</w:t>
      </w:r>
    </w:p>
    <w:p>
      <w:r>
        <w:t>Desembaraço e embarque não encerram, isoladamente, o acompanhamento documental. Confirme a DU-E averbada: ela atesta a efetiva exportação. A averbação automática depende de desembaraço, trânsito concluído quando existente, evento de carga completamente exportada (CCE) e ausência de exigências fiscais ativas. Se não ocorrer, identifique a pendência nos registros e acione os responsáveis. [9]</w:t>
      </w:r>
    </w:p>
    <w:p>
      <w:pPr>
        <w:pStyle w:val="Heading2"/>
      </w:pPr>
      <w:r>
        <w:t>19. Concilie recebimento e obrigações fiscais</w:t>
      </w:r>
    </w:p>
    <w:p>
      <w:r>
        <w:t>Confira recebimento, tarifas e condições da operação cambial, quando aplicável. Concilie valores com contrato, documentos e contabilidade. Valide tratamento fiscal e obrigações acessórias, inclusive as regras vigentes da Reforma Tributária para os documentos envolvidos, sem transpor regras da DUIMP para a DU-E. Recomendação de encerramento da ZollKlar, com análise da área fiscal. [11]</w:t>
      </w:r>
    </w:p>
    <w:p>
      <w:pPr>
        <w:pStyle w:val="Heading2"/>
      </w:pPr>
      <w:r>
        <w:t>20. Arquive e acompanhe o pós-embarque</w:t>
      </w:r>
    </w:p>
    <w:p>
      <w:r>
        <w:t>Preserve NF-e, invoice, packing list, DU-E, comprovante de averbação, transporte, autorizações, provas de origem e registros de recebimento. Controle prazos legais de guarda, compromissos de regimes especiais e necessidade de retificações com a área responsável. Compare custos previstos e efetivos e acompanhe entrega, reclamações e eventual retorno da mercadoria. Recomendação de organização documental da ZollKlar.</w:t>
      </w:r>
    </w:p>
    <w:p>
      <w:pPr>
        <w:pStyle w:val="Heading1"/>
      </w:pPr>
      <w:r>
        <w:t>Antes de confirmar o embarque</w:t>
      </w:r>
    </w:p>
    <w:p>
      <w:pPr>
        <w:pStyle w:val="ListBullet"/>
      </w:pPr>
      <w:r>
        <w:t>Empresa e representantes aptos para operar.</w:t>
      </w:r>
    </w:p>
    <w:p>
      <w:pPr>
        <w:pStyle w:val="ListBullet"/>
      </w:pPr>
      <w:r>
        <w:t>Comprador, destino e requisitos do produto avaliados.</w:t>
      </w:r>
    </w:p>
    <w:p>
      <w:pPr>
        <w:pStyle w:val="ListBullet"/>
      </w:pPr>
      <w:r>
        <w:t>NCM, preço, Incoterm e pagamento definidos.</w:t>
      </w:r>
    </w:p>
    <w:p>
      <w:pPr>
        <w:pStyle w:val="ListBullet"/>
      </w:pPr>
      <w:r>
        <w:t>LPCO e certificações aplicáveis verificados.</w:t>
      </w:r>
    </w:p>
    <w:p>
      <w:pPr>
        <w:pStyle w:val="ListBullet"/>
      </w:pPr>
      <w:r>
        <w:t>Documentos fiscais e comerciais consistentes.</w:t>
      </w:r>
    </w:p>
    <w:p>
      <w:pPr>
        <w:pStyle w:val="ListBullet"/>
      </w:pPr>
      <w:r>
        <w:t>Frete, seguro, embalagem e prazos alinhados.</w:t>
      </w:r>
    </w:p>
    <w:p>
      <w:pPr>
        <w:pStyle w:val="ListBullet"/>
      </w:pPr>
      <w:r>
        <w:t>Responsáveis definidos para despacho, embarque e averbação.</w:t>
      </w:r>
    </w:p>
    <w:p>
      <w:pPr>
        <w:pStyle w:val="Heading1"/>
      </w:pPr>
      <w:r>
        <w:t>Planeje sua próxima exportação com a ZollKlar</w:t>
      </w:r>
    </w:p>
    <w:p>
      <w:r>
        <w:t>Envie produto, quantidade, destino e condições de venda. A ZollKlar pode preparar uma proposta para o planejamento, o despacho e a logística da sua operação.</w:t>
      </w:r>
    </w:p>
    <w:p>
      <w:hyperlink r:id="rId11">
        <w:r>
          <w:t>Fale com a ZollKlar</w:t>
        </w:r>
      </w:hyperlink>
    </w:p>
    <w:p>
      <w:r>
        <w:t>WhatsApp: +55 (11) 98976-6107 • eduardo.souza@zollklar.com.br • maite.brito@zollklar.com.br</w:t>
      </w:r>
    </w:p>
    <w:p>
      <w:pPr>
        <w:pStyle w:val="Heading1"/>
      </w:pPr>
      <w:r>
        <w:t>Glossário</w:t>
      </w:r>
    </w:p>
    <w:p>
      <w:r>
        <w:t>DU-E: Declaração Única de Exportação.</w:t>
      </w:r>
    </w:p>
    <w:p>
      <w:r>
        <w:t>LPCO: Licenças, Permissões, Certificados e Outros Documentos.</w:t>
      </w:r>
    </w:p>
    <w:p>
      <w:r>
        <w:t>CCT: Controle de Carga e Trânsito no Portal Único.</w:t>
      </w:r>
    </w:p>
    <w:p>
      <w:r>
        <w:t>ACD: Apresentação da carga para despacho.</w:t>
      </w:r>
    </w:p>
    <w:p>
      <w:r>
        <w:t>CCE: Evento de carga completamente exportada.</w:t>
      </w:r>
    </w:p>
    <w:p>
      <w:r>
        <w:t>Averbação: Confirmação da exportação na declaração.</w:t>
      </w:r>
    </w:p>
    <w:p>
      <w:r>
        <w:t>Invoice / packing list: Fatura comercial / romaneio de carga.</w:t>
      </w:r>
    </w:p>
    <w:p>
      <w:r>
        <w:t>Incoterm: Regra contratual sobre entrega, custos e riscos.</w:t>
      </w:r>
    </w:p>
    <w:p>
      <w:r>
        <w:t>Drawback: Regime ligado a insumos e compromissos de exportação, sujeito a condições próprias.</w:t>
      </w:r>
    </w:p>
    <w:p>
      <w:pPr>
        <w:pStyle w:val="Heading1"/>
      </w:pPr>
      <w:r>
        <w:t>Fontes oficiais</w:t>
      </w:r>
    </w:p>
    <w:p>
      <w:hyperlink r:id="rId12">
        <w:r>
          <w:t>[1] Receita Federal — Manual de Exportação pelo Portal Único</w:t>
        </w:r>
      </w:hyperlink>
    </w:p>
    <w:p>
      <w:hyperlink r:id="rId13">
        <w:r>
          <w:t>[2] Receita Federal — A Declaração Única de Exportação</w:t>
        </w:r>
      </w:hyperlink>
    </w:p>
    <w:p>
      <w:hyperlink r:id="rId14">
        <w:r>
          <w:t>[3] Receita Federal — Manual de Habilitação no Siscomex</w:t>
        </w:r>
      </w:hyperlink>
    </w:p>
    <w:p>
      <w:hyperlink r:id="rId15">
        <w:r>
          <w:t>[4] Siscomex — Tratamento Administrativo de Exportação</w:t>
        </w:r>
      </w:hyperlink>
    </w:p>
    <w:p>
      <w:hyperlink r:id="rId16">
        <w:r>
          <w:t>[5] Siscomex — Licenças, Permissões e Certificados</w:t>
        </w:r>
      </w:hyperlink>
    </w:p>
    <w:p>
      <w:hyperlink r:id="rId17">
        <w:r>
          <w:t>[6] Receita Federal — DU-E com Nota Fiscal Eletrônica</w:t>
        </w:r>
      </w:hyperlink>
    </w:p>
    <w:p>
      <w:hyperlink r:id="rId18">
        <w:r>
          <w:t>[7] Receita Federal — Registro da recepção da carga para despacho</w:t>
        </w:r>
      </w:hyperlink>
    </w:p>
    <w:p>
      <w:hyperlink r:id="rId19">
        <w:r>
          <w:t>[8] Receita Federal — Gestão de Riscos na Exportação</w:t>
        </w:r>
      </w:hyperlink>
    </w:p>
    <w:p>
      <w:hyperlink r:id="rId20">
        <w:r>
          <w:t>[9] Receita Federal — Averbação de Embarque</w:t>
        </w:r>
      </w:hyperlink>
    </w:p>
    <w:p>
      <w:hyperlink r:id="rId21">
        <w:r>
          <w:t>[10] Siscomex — Regras de Origem</w:t>
        </w:r>
      </w:hyperlink>
    </w:p>
    <w:p>
      <w:hyperlink r:id="rId22">
        <w:r>
          <w:t>[11] Banco Central — Câmbio: perguntas e respostas</w:t>
        </w:r>
      </w:hyperlink>
    </w:p>
    <w:p>
      <w:hyperlink r:id="rId23">
        <w:r>
          <w:t>[12] Siscomex — Drawback</w:t>
        </w:r>
      </w:hyperlink>
    </w:p>
    <w:p>
      <w:hyperlink r:id="rId24">
        <w:r>
          <w:t>[13] Siscomex — Etapas da operacionalização da exportação</w:t>
        </w:r>
      </w:hyperlink>
    </w:p>
    <w:p>
      <w:r>
        <w:t>Consulta: 06/10/2026. As recomendações de planejamento e contratação são da ZollKlar. Confirme a aplicação das regras para a mercadoria, destino e operação; requisitos estrangeiros e regimes especiais exigem análise própria. O guia não antecipa mudanças tributárias futuras nem aplica regras da DUIMP à DU-E.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contato.html" TargetMode="External"/><Relationship Id="rId12" Type="http://schemas.openxmlformats.org/officeDocument/2006/relationships/hyperlink" Target="https://www.gov.br/receitafederal/pt-br/assuntos/aduana-e-comercio-exterior/manuais/exportacao-portal-unico" TargetMode="External"/><Relationship Id="rId13" Type="http://schemas.openxmlformats.org/officeDocument/2006/relationships/hyperlink" Target="https://www.gov.br/receitafederal/pt-br/assuntos/aduana-e-comercio-exterior/manuais/exportacao-portal-unico/introducao/a_declaracao_unica_de_exportacao_due" TargetMode="External"/><Relationship Id="rId14" Type="http://schemas.openxmlformats.org/officeDocument/2006/relationships/hyperlink" Target="https://www.gov.br/receitafederal/pt-br/assuntos/aduana-e-comercio-exterior/manuais/habilitacao" TargetMode="External"/><Relationship Id="rId15" Type="http://schemas.openxmlformats.org/officeDocument/2006/relationships/hyperlink" Target="https://www.gov.br/siscomex/pt-br/informacoes/tratamento-administrativos/tratamento-administrativo-de-exportacao-1" TargetMode="External"/><Relationship Id="rId16" Type="http://schemas.openxmlformats.org/officeDocument/2006/relationships/hyperlink" Target="https://www.gov.br/siscomex/pt-br/servicos/aprendendo-a-exportar/3-requisitos-exigidos/licencas-permissoes-e-certificados-1" TargetMode="External"/><Relationship Id="rId17" Type="http://schemas.openxmlformats.org/officeDocument/2006/relationships/hyperlink" Target="https://www.gov.br/receitafederal/pt-br/assuntos/aduana-e-comercio-exterior/manuais/exportacao-portal-unico/elaboracao-da-due/du-e-com-nota-fiscal-eletronica" TargetMode="External"/><Relationship Id="rId18" Type="http://schemas.openxmlformats.org/officeDocument/2006/relationships/hyperlink" Target="https://www.gov.br/receitafederal/pt-br/assuntos/aduana-e-comercio-exterior/manuais/exportacao-portal-unico/recepcao-de-carga-por-nfe/registro-da-recepcao-de-carga" TargetMode="External"/><Relationship Id="rId19" Type="http://schemas.openxmlformats.org/officeDocument/2006/relationships/hyperlink" Target="https://www.gov.br/receitafederal/pt-br/assuntos/aduana-e-comercio-exterior/manuais/exportacao-portal-unico/gestao-de-riscos" TargetMode="External"/><Relationship Id="rId20" Type="http://schemas.openxmlformats.org/officeDocument/2006/relationships/hyperlink" Target="https://www.gov.br/receitafederal/pt-br/assuntos/aduana-e-comercio-exterior/manuais/exportacao-portal-unico/averbacao-de-embarque-1" TargetMode="External"/><Relationship Id="rId21" Type="http://schemas.openxmlformats.org/officeDocument/2006/relationships/hyperlink" Target="https://www.gov.br/siscomex/pt-br/informacoes/perguntas-frequentes/acordos-comerciais/8-regras-de-origem" TargetMode="External"/><Relationship Id="rId22" Type="http://schemas.openxmlformats.org/officeDocument/2006/relationships/hyperlink" Target="https://www.bcb.gov.br/meubc/faqs/s/cambio" TargetMode="External"/><Relationship Id="rId23" Type="http://schemas.openxmlformats.org/officeDocument/2006/relationships/hyperlink" Target="https://www.gov.br/siscomex/pt-br/informacoes/drawback" TargetMode="External"/><Relationship Id="rId24" Type="http://schemas.openxmlformats.org/officeDocument/2006/relationships/hyperlink" Target="https://www.gov.br/siscomex/pt-br/servicos/aprendendo-a-exportar/9-operacionalizacao-da-exportacao/etapas-da-operacionalizacao-da-exportacao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