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DUIMP e Release Azuis: o que preparar para os testes de outubro</w:t>
      </w:r>
    </w:p>
    <w:p>
      <w:r>
        <w:t>Fontes oficiais verificadas em 14/10/2026</w:t>
      </w:r>
    </w:p>
    <w:p>
      <w:r>
        <w:t>Título SEO: DUIMP: mudanças previstas no Release Azuis | ZollKlar</w:t>
      </w:r>
    </w:p>
    <w:p>
      <w:r>
        <w:t>Descrição: DUIMP no Release Azuis: treinamento em 23/10/2026, produção prevista para novembro e pontos para revisar antes dos próximos processos.</w:t>
      </w:r>
    </w:p>
    <w:p>
      <w:pPr/>
      <w:r>
        <w:t>O Siscomex anunciou em 13/10/2026 o Release Azuis do Portal Único, com implantação no ambiente de treinamento em 23/10/2026. Nesse dia, somente o treinamento ficará indisponível das 08h às 14h; o ambiente de produção funcionará normalmente. A entrada da nova versão em produção está prevista para o início de novembro, e as mudanças abaixo são preparação para testes, não novas exigências já em vigor. [9][10]</w:t>
      </w:r>
    </w:p>
    <w:p>
      <w:pPr>
        <w:pStyle w:val="Heading2"/>
      </w:pPr>
      <w:r>
        <w:t>O que muda no Release Azuis e quando testar</w:t>
      </w:r>
    </w:p>
    <w:p>
      <w:pPr/>
      <w:r>
        <w:t>O comunicado Sistemas nº 018/2026 pede aos usuários de integrações por API que adaptem seus sistemas às alterações. A documentação técnica da próxima versão é provisória: ainda exibe treinamento em 16/10 e produção em 01/11. Para planejar os testes, esta edição adota 23/10, conforme o comunicado datado de 13/10; a data exata de produção deve ser reconfirmada em nova comunicação oficial. [9][10]</w:t>
      </w:r>
    </w:p>
    <w:p>
      <w:pPr>
        <w:pStyle w:val="ListNumber"/>
      </w:pPr>
      <w:r>
        <w:t>DUIMP: previstos ajustes para CE Mercante desdobrado e seu DSIC, uso de processo para informações de frete e multas vinculadas a tributos. A API do importador terá novos campos e domínio INDEFERIDA na conferência do anuente. [10]</w:t>
      </w:r>
    </w:p>
    <w:p>
      <w:pPr>
        <w:pStyle w:val="ListNumber"/>
      </w:pPr>
      <w:r>
        <w:t>LPCO: limite previsto de 100 itens. Pedidos existentes conservam seus itens; os que já excedem o limite não poderão receber novos. A simulação permitirá baixar tratamentos administrativos em CSV. [10]</w:t>
      </w:r>
    </w:p>
    <w:p>
      <w:pPr/>
      <w:r>
        <w:t>Como preparação operacional da ZollKlar, recomendamos selecionar casos reais de carga desdobrada, processos e LPCO extensos para reproduzir no treinamento. Quem integra sistemas deve validar campos, respostas e tratamento de situações antes de liberar alterações em produção; documente o resultado dos testes e as exceções encontradas.</w:t>
      </w:r>
    </w:p>
    <w:p>
      <w:pPr>
        <w:pStyle w:val="Heading2"/>
      </w:pPr>
      <w:r>
        <w:t>O que é a DUIMP?</w:t>
      </w:r>
    </w:p>
    <w:p>
      <w:pPr/>
      <w:r>
        <w:t>DUIMP é a Declaração Única de Importação, utilizada no Novo Processo de Importação do Portal Único Siscomex. Na elaboração dos itens, o importador utiliza o Catálogo de Produtos, que reúne informações sobre mercadorias e operadores estrangeiros. [3][4]</w:t>
      </w:r>
    </w:p>
    <w:p>
      <w:pPr/>
      <w:r>
        <w:t>Na prática, isso torna o cadastro parte da preparação do despacho. Uma informação reutilizada em várias operações precisa representar corretamente o produto que será importado. Por isso, recomendamos conferir descrição técnica, classificação fiscal e dados do fabricante antes de elaborar a declaração.</w:t>
      </w:r>
    </w:p>
    <w:p>
      <w:pPr>
        <w:pStyle w:val="Heading2"/>
      </w:pPr>
      <w:r>
        <w:t>Suframa entra no Novo Processo de Importação em 13/10/2026</w:t>
      </w:r>
    </w:p>
    <w:p>
      <w:pPr/>
      <w:r>
        <w:t>A Notícia Siscomex Importação nº 104/2026, publicada em 08/10/2026, informa que as operações sujeitas à anuência prévia da Suframa poderão ser registradas por DUIMP a partir de 13/10/2026. O LPCO correspondente deve ser solicitado previamente no módulo LPCO do Portal Único. [8]</w:t>
      </w:r>
    </w:p>
    <w:p>
      <w:pPr>
        <w:pStyle w:val="ListNumber"/>
      </w:pPr>
      <w:r>
        <w:t>PLI para industrialização: tratamento administrativo I1207 e modelo LPCO I00201. [8]</w:t>
      </w:r>
    </w:p>
    <w:p>
      <w:pPr>
        <w:pStyle w:val="ListNumber"/>
      </w:pPr>
      <w:r>
        <w:t>PLI para uso próprio: tratamento administrativo I1208 e modelo LPCO I00202. [8]</w:t>
      </w:r>
    </w:p>
    <w:p>
      <w:pPr>
        <w:pStyle w:val="ListNumber"/>
      </w:pPr>
      <w:r>
        <w:t>PLI para comercialização: tratamento administrativo I1209 e modelo LPCO I00203. [8]</w:t>
      </w:r>
    </w:p>
    <w:p>
      <w:pPr>
        <w:pStyle w:val="ListNumber"/>
      </w:pPr>
      <w:r>
        <w:t>PLI para plano de exportação: tratamento administrativo I1210 e modelo LPCO I00205. [8]</w:t>
      </w:r>
    </w:p>
    <w:p>
      <w:pPr>
        <w:pStyle w:val="ListNumber"/>
      </w:pPr>
      <w:r>
        <w:t>PLI para industrialização e outras finalidades: tratamento administrativo I1211 e modelo LPCO I00206. [8]</w:t>
      </w:r>
    </w:p>
    <w:p>
      <w:pPr/>
      <w:r>
        <w:t>A possibilidade de usar DUIMP não elimina imediatamente o fluxo tradicional. Enquanto a operação for realizada por DI, deve ser seguido o procedimento vigente da Suframa por meio de LI. O comunicado prevê o desligamento da DI em 10/12/2026 e recomenda antecipar a adaptação ao novo processo. [8]</w:t>
      </w:r>
    </w:p>
    <w:p>
      <w:pPr/>
      <w:r>
        <w:t>Como preparação operacional, recomendamos identificar a finalidade correta do PLI, revisar o tratamento administrativo e preencher o LPCO antes de elaborar a DUIMP. A equipe deve conferir se o modelo escolhido corresponde à operação e manter os dados do produto e da anuência consistentes entre Catálogo, LPCO e declaração.</w:t>
      </w:r>
    </w:p>
    <w:p>
      <w:pPr>
        <w:pStyle w:val="Heading2"/>
      </w:pPr>
      <w:r>
        <w:t>O que mudou: migração da DI e novos campos tributários</w:t>
      </w:r>
    </w:p>
    <w:p>
      <w:pPr/>
      <w:r>
        <w:t>A obrigatoriedade de DUIMP avança por operações. O cronograma oficial consultado foi atualizado em 02/10/2026 e deve ser lido junto das situações especiais e das operações indisponíveis. Uma Licença de Importação (LI) deferida, mas registrada após o desligamento da operação, não garante que uma DI poderá ser registrada. [1]</w:t>
      </w:r>
    </w:p>
    <w:p>
      <w:pPr/>
      <w:r>
        <w:t>Informe UF e município do local de consumo e os componentes adicionais não obtidos automaticamente da DUIMP, como TSA, TFVS e TFFA, quando aplicáveis. Se esses campos tiverem valores diferentes de zero, anexe a memória de cálculo ao dossiê vinculado, usando o tipo Memória de Cálculo, sigla MEMOCALC. [5]</w:t>
      </w:r>
    </w:p>
    <w:p>
      <w:pPr/>
      <w:r>
        <w:t>O sistema define o cClassTrib pelo fundamento legal. Os totais de CBS/IBS são exibidos no resumo, mas a orientação da Receita permanece: esses valores não devem ser recolhidos em 2026. [5]</w:t>
      </w:r>
    </w:p>
    <w:p>
      <w:pPr>
        <w:pStyle w:val="Heading2"/>
      </w:pPr>
      <w:r>
        <w:t>Como conferir o rateio por item</w:t>
      </w:r>
    </w:p>
    <w:p>
      <w:pPr/>
      <w:r>
        <w:t>Quando não for possível individualizar os componentes por item, o art. 80, § 3º, do regulamento da CBS determina o uso do peso líquido para o AFRMM e do valor aduaneiro para os demais componentes, considerando itens tributados ou não. Essa orientação também consta do manual RTC. [5][6]</w:t>
      </w:r>
    </w:p>
    <w:p>
      <w:pPr/>
      <w:r>
        <w:t>Como organização operacional, recomendamos guardar a composição do total e conferir se a soma das parcelas corresponde ao valor distribuído. Uma taxa identificável em determinado item não deve ser tratada como custo comum sem análise. A revisão deve envolver quem conhece os documentos e quem valida o preenchimento fiscal.</w:t>
      </w:r>
    </w:p>
    <w:p>
      <w:pPr>
        <w:pStyle w:val="Heading2"/>
      </w:pPr>
      <w:r>
        <w:t>Janela anteriormente anunciada: 12/10/2026</w:t>
      </w:r>
    </w:p>
    <w:p>
      <w:pPr/>
      <w:r>
        <w:t>A Notícia Siscomex Sistemas nº 017/2026, publicada em 07/10/2026, anunciou a indisponibilidade do Portal Único em 12/10/2026, das 01h às 05h. Entre os módulos afetados estão DUIMP, Catálogo de Produtos, Tratamento Administrativo/LPCO, Anexação Eletrônica de Documentos, CCT Importação, Conferência Aduaneira, Tratamento Tributário e Visão Integrada. [7]</w:t>
      </w:r>
    </w:p>
    <w:p>
      <w:pPr/>
      <w:r>
        <w:t>A janela anunciada já transcorreu. O comunicado registra sua programação e não comprova o restabelecimento dos módulos. Em caso de pendência operacional, confira a situação da declaração, dos documentos e dos eventos de carga antes de continuar.</w:t>
      </w:r>
    </w:p>
    <w:p>
      <w:pPr>
        <w:pStyle w:val="Heading2"/>
      </w:pPr>
      <w:r>
        <w:t>Quem é afetado?</w:t>
      </w:r>
    </w:p>
    <w:p>
      <w:pPr/>
      <w:r>
        <w:t>Importadores com operações sujeitas à anuência da Suframa passam a ter uma nova possibilidade de registro a partir de 13/10/2026. Importadores já abrangidos por outros desligamentos da DI também precisam seguir o novo fluxo; havendo mais de um anuente, devem ser observadas as regras específicas do cronograma. [1][8]</w:t>
      </w:r>
    </w:p>
    <w:p>
      <w:pPr/>
      <w:r>
        <w:t>Na organização da empresa, a preparação envolve compras, equipe técnica, área fiscal e responsável pelo despacho. Quem compra conhece o fornecedor; quem especifica o produto tem os dados técnicos; quem acompanha o despacho precisa dessas informações consistentes para estruturar a operação.</w:t>
      </w:r>
    </w:p>
    <w:p>
      <w:pPr>
        <w:pStyle w:val="Heading2"/>
      </w:pPr>
      <w:r>
        <w:t>O que muda na prática para o importador?</w:t>
      </w:r>
    </w:p>
    <w:p>
      <w:pPr/>
      <w:r>
        <w:t>O Catálogo de Produtos permite reaproveitar informações nas declarações e nos LPCO — licenças, permissões, certificados e outros documentos — quando aplicáveis. O cadastro pode ser preparado antes da elaboração da DUIMP. A classificação fiscal continua sendo responsabilidade do importador. [4]</w:t>
      </w:r>
    </w:p>
    <w:p>
      <w:pPr/>
      <w:r>
        <w:t>Para uma máquina industrial, por exemplo, recomendamos reunir função, modelo e características técnicas antes de revisar a NCM e os atributos solicitados. Para um insumo químico ou alimentício, a equipe deve obter a documentação técnica necessária para identificar a mercadoria e avaliar o tratamento administrativo.</w:t>
      </w:r>
    </w:p>
    <w:p>
      <w:pPr/>
      <w:r>
        <w:t>O objetivo dessa preparação é evitar que dúvidas sobre o produto, o cadastro ou a documentação sejam descobertas apenas no momento do registro. Trata-se de uma recomendação de organização operacional; cada processo exige análise própria.</w:t>
      </w:r>
    </w:p>
    <w:p>
      <w:pPr>
        <w:pStyle w:val="Heading2"/>
      </w:pPr>
      <w:r>
        <w:t>O que fazer nos próximos processos de importação</w:t>
      </w:r>
    </w:p>
    <w:p>
      <w:pPr>
        <w:pStyle w:val="ListNumber"/>
      </w:pPr>
      <w:r>
        <w:t>Confira o enquadramento no cronograma vigente. Analise as características da operação, os anuentes e as exceções antes de definir o uso de DI ou DUIMP. Para operações da Suframa, considere a disponibilidade da DUIMP em 13/10/2026 e o desligamento da DI previsto para 10/12/2026. [1][8]</w:t>
      </w:r>
    </w:p>
    <w:p>
      <w:pPr>
        <w:pStyle w:val="ListNumber"/>
      </w:pPr>
      <w:r>
        <w:t>Revise os produtos que serão utilizados. Confira NCM, descrição, atributos e operadores estrangeiros; organize quem poderá incluir e atualizar os cadastros. [3][4]</w:t>
      </w:r>
    </w:p>
    <w:p>
      <w:pPr>
        <w:pStyle w:val="ListNumber"/>
      </w:pPr>
      <w:r>
        <w:t>Verifique o tratamento administrativo. Identifique as autorizações aplicáveis e prepare os dados necessários ao LPCO, quando exigido. [4]</w:t>
      </w:r>
    </w:p>
    <w:p>
      <w:pPr>
        <w:pStyle w:val="ListNumber"/>
      </w:pPr>
      <w:r>
        <w:t>Nas operações sujeitas à Suframa, identifique a finalidade do PLI e solicite previamente o modelo LPCO correspondente antes de registrar a DUIMP. [8]</w:t>
      </w:r>
    </w:p>
    <w:p>
      <w:pPr>
        <w:pStyle w:val="ListNumber"/>
      </w:pPr>
      <w:r>
        <w:t>Alinhe o preenchimento tributário com a área fiscal. Confira os componentes, o rateio e a memória de cálculo antes do registro. [5][6]</w:t>
      </w:r>
    </w:p>
    <w:p>
      <w:pPr>
        <w:pStyle w:val="ListNumber"/>
      </w:pPr>
      <w:r>
        <w:t>Programe os testes do Release Azuis fora da parada do treinamento em 23/10, das 08h às 14h. Confirme a entrada da nova versão em produção antes de aplicar os novos procedimentos ao processo real. [9][10]</w:t>
      </w:r>
    </w:p>
    <w:p>
      <w:pPr>
        <w:pStyle w:val="ListNumber"/>
      </w:pPr>
      <w:r>
        <w:t>Faça uma conferência conjunta antes do registro. Compare cadastro, documentos comerciais e dados da operação; resolva as divergências e mantenha uma referência da versão utilizada.</w:t>
      </w:r>
    </w:p>
    <w:p>
      <w:pPr>
        <w:pStyle w:val="Heading2"/>
      </w:pPr>
      <w:r>
        <w:t>A DUIMP já é obrigatória para toda importação?</w:t>
      </w:r>
    </w:p>
    <w:p>
      <w:pPr/>
      <w:r>
        <w:t>Não. A resposta depende do cronograma e das condições da operação. Antes de cada registro, consulte a versão vigente e as situações especiais publicadas pelo Siscomex. [1]</w:t>
      </w:r>
    </w:p>
    <w:p>
      <w:pPr>
        <w:pStyle w:val="Heading2"/>
      </w:pPr>
      <w:r>
        <w:t>O Catálogo de Produtos substitui a análise de NCM?</w:t>
      </w:r>
    </w:p>
    <w:p>
      <w:pPr/>
      <w:r>
        <w:t>Não. O catálogo organiza as informações da mercadoria, mas não determina automaticamente a classificação fiscal correta. A NCM precisa ser analisada com base nas características do produto. [4]</w:t>
      </w:r>
    </w:p>
    <w:p>
      <w:pPr>
        <w:pStyle w:val="Heading2"/>
      </w:pPr>
      <w:r>
        <w:t>Apoio para preparar a próxima operação</w:t>
      </w:r>
    </w:p>
    <w:p>
      <w:pPr/>
      <w:r>
        <w:t>Se sua empresa precisa revisar os cadastros e organizar a próxima importação por DUIMP, conheça o serviço de Despacho Aduaneiro da ZollKlar e converse com nossa equipe sobre os pontos que precisam ser conferidos no seu processo.</w:t>
      </w:r>
    </w:p>
    <w:p>
      <w:pPr/>
      <w:hyperlink r:id="rId11">
        <w:r>
          <w:t>Conheça o serviço de Despacho Aduaneiro da ZollKlar</w:t>
        </w:r>
      </w:hyperlink>
    </w:p>
    <w:p>
      <w:pPr>
        <w:pStyle w:val="Heading2"/>
      </w:pPr>
      <w:r>
        <w:t>Fontes oficiais</w:t>
      </w:r>
    </w:p>
    <w:p>
      <w:pPr/>
      <w:hyperlink r:id="rId12">
        <w:r>
          <w:t>[1] Siscomex — Cronograma de Desligamento DI (atualizado em 02/10/2026)</w:t>
        </w:r>
      </w:hyperlink>
    </w:p>
    <w:p>
      <w:pPr/>
      <w:hyperlink r:id="rId13">
        <w:r>
          <w:t>[2] Siscomex — Notícia Importação nº 089/2026</w:t>
        </w:r>
      </w:hyperlink>
    </w:p>
    <w:p>
      <w:pPr/>
      <w:hyperlink r:id="rId14">
        <w:r>
          <w:t>[3] Receita Federal — Inclusão, edição e exclusão de item na DUIMP</w:t>
        </w:r>
      </w:hyperlink>
    </w:p>
    <w:p>
      <w:pPr/>
      <w:hyperlink r:id="rId15">
        <w:r>
          <w:t>[4] Siscomex — Manual do Catálogo de Produtos e Operador Estrangeiro — versão do manual de 02/07/2026</w:t>
        </w:r>
      </w:hyperlink>
    </w:p>
    <w:p>
      <w:pPr/>
      <w:hyperlink r:id="rId16">
        <w:r>
          <w:t>[5] Receita Federal — Reforma Tributária do Consumo no Manual da DUIMP, atualizado em 06/10/2026 às 15h28</w:t>
        </w:r>
      </w:hyperlink>
    </w:p>
    <w:p>
      <w:pPr/>
      <w:hyperlink r:id="rId17">
        <w:r>
          <w:t>[6] Planalto — Decreto nº 12.955/2026, regulamento da CBS, art. 80 e § 3º</w:t>
        </w:r>
      </w:hyperlink>
    </w:p>
    <w:p>
      <w:pPr/>
      <w:hyperlink r:id="rId18">
        <w:r>
          <w:t>[7] Siscomex — Notícia Sistemas nº 017/2026, publicada em 07/10/2026</w:t>
        </w:r>
      </w:hyperlink>
    </w:p>
    <w:p>
      <w:pPr/>
      <w:hyperlink r:id="rId19">
        <w:r>
          <w:t>[8] Siscomex — Notícia Importação nº 104/2026, publicada em 08/10/2026</w:t>
        </w:r>
      </w:hyperlink>
    </w:p>
    <w:p>
      <w:pPr/>
      <w:hyperlink r:id="rId20">
        <w:r>
          <w:t>[9] Siscomex — Notícia Sistemas nº 018/2026, publicada em 13/10/2026 às 17h30</w:t>
        </w:r>
      </w:hyperlink>
    </w:p>
    <w:p>
      <w:pPr/>
      <w:hyperlink r:id="rId21">
        <w:r>
          <w:t>[10] Portal Único — Release Azuis, documentação provisória da próxima versão</w:t>
        </w:r>
      </w:hyperlink>
    </w:p>
    <w:p>
      <w:pPr/>
      <w:r>
        <w:t>Consulta às fontes: 14/10/2026. Release Azuis: preparação e testes no treinamento em 23/10; produção prevista para o início de novembro, sujeita à confirmação oficial. As orientações operacionais são recomendações da ZollKlar.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despacho-aduaneiro.html" TargetMode="External"/><Relationship Id="rId12" Type="http://schemas.openxmlformats.org/officeDocument/2006/relationships/hyperlink" Target="https://www.gov.br/siscomex/pt-br/programa-portal-unico/cronograma-de-desligamento-di" TargetMode="External"/><Relationship Id="rId13" Type="http://schemas.openxmlformats.org/officeDocument/2006/relationships/hyperlink" Target="https://www.gov.br/siscomex/pt-br/noticias/noticias-siscomex-importacao/Comunicados/importacao-no-2026-089" TargetMode="External"/><Relationship Id="rId14" Type="http://schemas.openxmlformats.org/officeDocument/2006/relationships/hyperlink" Target="https://www.gov.br/receitafederal/pt-br/assuntos/aduana-e-comercio-exterior/manuais/despacho-de-importacao/sistemas/duimp/elaboracao-da-duimp/inclusao-de-item" TargetMode="External"/><Relationship Id="rId15" Type="http://schemas.openxmlformats.org/officeDocument/2006/relationships/hyperlink" Target="https://www.gov.br/siscomex/pt-br/informacoes/manual-importador-catalogo-oper-estrang-classif-v17.pdf" TargetMode="External"/><Relationship Id="rId16" Type="http://schemas.openxmlformats.org/officeDocument/2006/relationships/hyperlink" Target="https://www.gov.br/receitafederal/pt-br/assuntos/aduana-e-comercio-exterior/manuais/despacho-de-importacao/sistemas/duimp/rtc" TargetMode="External"/><Relationship Id="rId17" Type="http://schemas.openxmlformats.org/officeDocument/2006/relationships/hyperlink" Target="https://www.planalto.gov.br/ccivil_03/_ato2023-2026/2026/decreto/d12955.htm" TargetMode="External"/><Relationship Id="rId18" Type="http://schemas.openxmlformats.org/officeDocument/2006/relationships/hyperlink" Target="https://www.gov.br/siscomex/pt-br/noticias/noticias-siscomex-sistemas/comunicados/sistemas-no-2026-017" TargetMode="External"/><Relationship Id="rId19" Type="http://schemas.openxmlformats.org/officeDocument/2006/relationships/hyperlink" Target="https://www.gov.br/siscomex/pt-br/noticias/noticias-siscomex-importacao/Comunicados/importacao-no-2026-104" TargetMode="External"/><Relationship Id="rId20" Type="http://schemas.openxmlformats.org/officeDocument/2006/relationships/hyperlink" Target="https://www.gov.br/siscomex/pt-br/noticias/noticias-siscomex-sistemas/comunicados/sistemas-no-2026-018" TargetMode="External"/><Relationship Id="rId21" Type="http://schemas.openxmlformats.org/officeDocument/2006/relationships/hyperlink" Target="https://docs-proxima.portalunico.siscomex.gov.br/rn/r77-azuis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