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DUIMP e Suframa: o que muda a partir de 13 de outubro de 2026</w:t>
      </w:r>
    </w:p>
    <w:p>
      <w:r>
        <w:t>Fontes oficiais verificadas em 11/10/2026</w:t>
      </w:r>
    </w:p>
    <w:p>
      <w:r>
        <w:t>Título SEO: DUIMP e Suframa: mudanças a partir de 13/10/2026 | ZollKlar</w:t>
      </w:r>
    </w:p>
    <w:p>
      <w:r>
        <w:t>Descrição: A partir de 13/10/2026, operações sujeitas à anuência da Suframa poderão usar DUIMP com LPCO PLI prévio. Veja os modelos e o que revisar.</w:t>
      </w:r>
    </w:p>
    <w:p>
      <w:pPr/>
      <w:r>
        <w:t>A partir de 13/10/2026, as importações de produtos sujeitos à anuência prévia da Suframa poderão ser registradas por DUIMP. Antes do registro, será necessário solicitar o LPCO PLI correspondente à finalidade da operação. O fluxo por DI continua usando LI enquanto for aplicável, e o desligamento da DI para essas operações está previsto para 10/12/2026. [8]</w:t>
      </w:r>
    </w:p>
    <w:p>
      <w:pPr>
        <w:pStyle w:val="Heading2"/>
      </w:pPr>
      <w:r>
        <w:t>O que é a DUIMP?</w:t>
      </w:r>
    </w:p>
    <w:p>
      <w:pPr/>
      <w:r>
        <w:t>DUIMP é a Declaração Única de Importação, utilizada no Novo Processo de Importação do Portal Único Siscomex. Na elaboração dos itens, o importador utiliza o Catálogo de Produtos, que reúne informações sobre mercadorias e operadores estrangeiros. [3][4]</w:t>
      </w:r>
    </w:p>
    <w:p>
      <w:pPr/>
      <w:r>
        <w:t>Na prática, isso torna o cadastro parte da preparação do despacho. Uma informação reutilizada em várias operações precisa representar corretamente o produto que será importado. Por isso, recomendamos conferir descrição técnica, classificação fiscal e dados do fabricante antes de elaborar a declaração.</w:t>
      </w:r>
    </w:p>
    <w:p>
      <w:pPr>
        <w:pStyle w:val="Heading2"/>
      </w:pPr>
      <w:r>
        <w:t>Suframa entra no Novo Processo de Importação em 13/10/2026</w:t>
      </w:r>
    </w:p>
    <w:p>
      <w:pPr/>
      <w:r>
        <w:t>A Notícia Siscomex Importação nº 104/2026, publicada em 08/10/2026, informa que as operações sujeitas à anuência prévia da Suframa poderão ser registradas por DUIMP a partir de 13/10/2026. O LPCO correspondente deve ser solicitado previamente no módulo LPCO do Portal Único. [8]</w:t>
      </w:r>
    </w:p>
    <w:p>
      <w:pPr>
        <w:pStyle w:val="ListNumber"/>
      </w:pPr>
      <w:r>
        <w:t>PLI para industrialização: tratamento administrativo I1207 e modelo LPCO I00201. [8]</w:t>
      </w:r>
    </w:p>
    <w:p>
      <w:pPr>
        <w:pStyle w:val="ListNumber"/>
      </w:pPr>
      <w:r>
        <w:t>PLI para uso próprio: tratamento administrativo I1208 e modelo LPCO I00202. [8]</w:t>
      </w:r>
    </w:p>
    <w:p>
      <w:pPr>
        <w:pStyle w:val="ListNumber"/>
      </w:pPr>
      <w:r>
        <w:t>PLI para comercialização: tratamento administrativo I1209 e modelo LPCO I00203. [8]</w:t>
      </w:r>
    </w:p>
    <w:p>
      <w:pPr>
        <w:pStyle w:val="ListNumber"/>
      </w:pPr>
      <w:r>
        <w:t>PLI para plano de exportação: tratamento administrativo I1210 e modelo LPCO I00205. [8]</w:t>
      </w:r>
    </w:p>
    <w:p>
      <w:pPr>
        <w:pStyle w:val="ListNumber"/>
      </w:pPr>
      <w:r>
        <w:t>PLI para industrialização e outras finalidades: tratamento administrativo I1211 e modelo LPCO I00206. [8]</w:t>
      </w:r>
    </w:p>
    <w:p>
      <w:pPr/>
      <w:r>
        <w:t>A possibilidade de usar DUIMP não elimina imediatamente o fluxo tradicional. Enquanto a operação for realizada por DI, deve ser seguido o procedimento vigente da Suframa por meio de LI. O comunicado prevê o desligamento da DI em 10/12/2026 e recomenda antecipar a adaptação ao novo processo. [8]</w:t>
      </w:r>
    </w:p>
    <w:p>
      <w:pPr/>
      <w:r>
        <w:t>Como preparação operacional, recomendamos identificar a finalidade correta do PLI, revisar o tratamento administrativo e preencher o LPCO antes de elaborar a DUIMP. A equipe deve conferir se o modelo escolhido corresponde à operação e manter os dados do produto e da anuência consistentes entre Catálogo, LPCO e declaração.</w:t>
      </w:r>
    </w:p>
    <w:p>
      <w:pPr>
        <w:pStyle w:val="Heading2"/>
      </w:pPr>
      <w:r>
        <w:t>O que mudou: migração da DI e novos campos tributários</w:t>
      </w:r>
    </w:p>
    <w:p>
      <w:pPr/>
      <w:r>
        <w:t>A obrigatoriedade de DUIMP avança por operações. O cronograma oficial consultado foi atualizado em 02/10/2026 e deve ser lido junto das situações especiais e das operações indisponíveis. Uma Licença de Importação (LI) deferida, mas registrada após o desligamento da operação, não garante que uma DI poderá ser registrada. [1]</w:t>
      </w:r>
    </w:p>
    <w:p>
      <w:pPr/>
      <w:r>
        <w:t>Informe UF e município do local de consumo e os componentes adicionais não obtidos automaticamente da DUIMP, como TSA, TFVS e TFFA, quando aplicáveis. Se esses campos tiverem valores diferentes de zero, anexe a memória de cálculo ao dossiê vinculado, usando o tipo Memória de Cálculo, sigla MEMOCALC. [5]</w:t>
      </w:r>
    </w:p>
    <w:p>
      <w:pPr/>
      <w:r>
        <w:t>O sistema define o cClassTrib pelo fundamento legal. Os totais de CBS/IBS são exibidos no resumo, mas a orientação da Receita permanece: esses valores não devem ser recolhidos em 2026. [5]</w:t>
      </w:r>
    </w:p>
    <w:p>
      <w:pPr>
        <w:pStyle w:val="Heading2"/>
      </w:pPr>
      <w:r>
        <w:t>Como conferir o rateio por item</w:t>
      </w:r>
    </w:p>
    <w:p>
      <w:pPr/>
      <w:r>
        <w:t>Quando não for possível individualizar os componentes por item, o art. 80, § 3º, do regulamento da CBS determina o uso do peso líquido para o AFRMM e do valor aduaneiro para os demais componentes, considerando itens tributados ou não. Essa orientação também consta do manual RTC. [5][6]</w:t>
      </w:r>
    </w:p>
    <w:p>
      <w:pPr/>
      <w:r>
        <w:t>Como organização operacional, recomendamos guardar a composição do total e conferir se a soma das parcelas corresponde ao valor distribuído. Uma taxa identificável em determinado item não deve ser tratada como custo comum sem análise. A revisão deve envolver quem conhece os documentos e quem valida o preenchimento fiscal.</w:t>
      </w:r>
    </w:p>
    <w:p>
      <w:pPr>
        <w:pStyle w:val="Heading2"/>
      </w:pPr>
      <w:r>
        <w:t>Parada programada do Portal Único em 12/10/2026</w:t>
      </w:r>
    </w:p>
    <w:p>
      <w:pPr/>
      <w:r>
        <w:t>A Notícia Siscomex Sistemas nº 017/2026, publicada em 07/10/2026, informa que o Portal Único ficará indisponível em 12/10/2026, das 01h às 05h. Entre os módulos afetados estão DUIMP, Catálogo de Produtos, Tratamento Administrativo/LPCO, Anexação Eletrônica de Documentos, CCT Importação, Conferência Aduaneira, Tratamento Tributário e Visão Integrada. [7]</w:t>
      </w:r>
    </w:p>
    <w:p>
      <w:pPr/>
      <w:r>
        <w:t>Como preparação operacional, evite programar registros, retificações, anexações ou validações nessa janela. Antes da parada, salve as referências necessárias; depois do restabelecimento, confira se os processos e documentos ficaram com o estado esperado antes de continuar a operação.</w:t>
      </w:r>
    </w:p>
    <w:p>
      <w:pPr>
        <w:pStyle w:val="Heading2"/>
      </w:pPr>
      <w:r>
        <w:t>Quem é afetado?</w:t>
      </w:r>
    </w:p>
    <w:p>
      <w:pPr/>
      <w:r>
        <w:t>Importadores com operações sujeitas à anuência da Suframa passam a ter uma nova possibilidade de registro a partir de 13/10/2026. Importadores já abrangidos por outros desligamentos da DI também precisam seguir o novo fluxo; havendo mais de um anuente, devem ser observadas as regras específicas do cronograma. [1][8]</w:t>
      </w:r>
    </w:p>
    <w:p>
      <w:pPr/>
      <w:r>
        <w:t>Na organização da empresa, a preparação envolve compras, equipe técnica, área fiscal e responsável pelo despacho. Quem compra conhece o fornecedor; quem especifica o produto tem os dados técnicos; quem acompanha o despacho precisa dessas informações consistentes para estruturar a operação.</w:t>
      </w:r>
    </w:p>
    <w:p>
      <w:pPr>
        <w:pStyle w:val="Heading2"/>
      </w:pPr>
      <w:r>
        <w:t>O que muda na prática para o importador?</w:t>
      </w:r>
    </w:p>
    <w:p>
      <w:pPr/>
      <w:r>
        <w:t>O Catálogo de Produtos permite reaproveitar informações nas declarações e nos LPCO — licenças, permissões, certificados e outros documentos — quando aplicáveis. O cadastro pode ser preparado antes da elaboração da DUIMP. A classificação fiscal continua sendo responsabilidade do importador. [4]</w:t>
      </w:r>
    </w:p>
    <w:p>
      <w:pPr/>
      <w:r>
        <w:t>Para uma máquina industrial, por exemplo, recomendamos reunir função, modelo e características técnicas antes de revisar a NCM e os atributos solicitados. Para um insumo químico ou alimentício, a equipe deve obter a documentação técnica necessária para identificar a mercadoria e avaliar o tratamento administrativo.</w:t>
      </w:r>
    </w:p>
    <w:p>
      <w:pPr/>
      <w:r>
        <w:t>O objetivo dessa preparação é evitar que dúvidas sobre o produto, o cadastro ou a documentação sejam descobertas apenas no momento do registro. Trata-se de uma recomendação de organização operacional; cada processo exige análise própria.</w:t>
      </w:r>
    </w:p>
    <w:p>
      <w:pPr>
        <w:pStyle w:val="Heading2"/>
      </w:pPr>
      <w:r>
        <w:t>O que fazer nos próximos processos de importação</w:t>
      </w:r>
    </w:p>
    <w:p>
      <w:pPr>
        <w:pStyle w:val="ListNumber"/>
      </w:pPr>
      <w:r>
        <w:t>Confira o enquadramento no cronograma vigente. Analise as características da operação, os anuentes e as exceções antes de definir o uso de DI ou DUIMP. Para operações da Suframa, considere a disponibilidade da DUIMP em 13/10/2026 e o desligamento da DI previsto para 10/12/2026. [1][8]</w:t>
      </w:r>
    </w:p>
    <w:p>
      <w:pPr>
        <w:pStyle w:val="ListNumber"/>
      </w:pPr>
      <w:r>
        <w:t>Revise os produtos que serão utilizados. Confira NCM, descrição, atributos e operadores estrangeiros; organize quem poderá incluir e atualizar os cadastros. [3][4]</w:t>
      </w:r>
    </w:p>
    <w:p>
      <w:pPr>
        <w:pStyle w:val="ListNumber"/>
      </w:pPr>
      <w:r>
        <w:t>Verifique o tratamento administrativo. Identifique as autorizações aplicáveis e prepare os dados necessários ao LPCO, quando exigido. [4]</w:t>
      </w:r>
    </w:p>
    <w:p>
      <w:pPr>
        <w:pStyle w:val="ListNumber"/>
      </w:pPr>
      <w:r>
        <w:t>Nas operações sujeitas à Suframa, identifique a finalidade do PLI e solicite previamente o modelo LPCO correspondente antes de registrar a DUIMP. [8]</w:t>
      </w:r>
    </w:p>
    <w:p>
      <w:pPr>
        <w:pStyle w:val="ListNumber"/>
      </w:pPr>
      <w:r>
        <w:t>Alinhe o preenchimento tributário com a área fiscal. Confira os componentes, o rateio e a memória de cálculo antes do registro. [5][6]</w:t>
      </w:r>
    </w:p>
    <w:p>
      <w:pPr>
        <w:pStyle w:val="ListNumber"/>
      </w:pPr>
      <w:r>
        <w:t>Planeje as atividades fora da parada de 12/10/2026, das 01h às 05h, e confira os processos após o restabelecimento do Portal Único. [7]</w:t>
      </w:r>
    </w:p>
    <w:p>
      <w:pPr>
        <w:pStyle w:val="ListNumber"/>
      </w:pPr>
      <w:r>
        <w:t>Faça uma conferência conjunta antes do registro. Compare cadastro, documentos comerciais e dados da operação; resolva as divergências e mantenha uma referência da versão utilizada.</w:t>
      </w:r>
    </w:p>
    <w:p>
      <w:pPr>
        <w:pStyle w:val="Heading2"/>
      </w:pPr>
      <w:r>
        <w:t>A DUIMP já é obrigatória para toda importação?</w:t>
      </w:r>
    </w:p>
    <w:p>
      <w:pPr/>
      <w:r>
        <w:t>Não. A resposta depende do cronograma e das condições da operação. Antes de cada registro, consulte a versão vigente e as situações especiais publicadas pelo Siscomex. [1]</w:t>
      </w:r>
    </w:p>
    <w:p>
      <w:pPr>
        <w:pStyle w:val="Heading2"/>
      </w:pPr>
      <w:r>
        <w:t>O Catálogo de Produtos substitui a análise de NCM?</w:t>
      </w:r>
    </w:p>
    <w:p>
      <w:pPr/>
      <w:r>
        <w:t>Não. O catálogo organiza as informações da mercadoria, mas não determina automaticamente a classificação fiscal correta. A NCM precisa ser analisada com base nas características do produto. [4]</w:t>
      </w:r>
    </w:p>
    <w:p>
      <w:pPr>
        <w:pStyle w:val="Heading2"/>
      </w:pPr>
      <w:r>
        <w:t>Apoio para preparar a próxima operação</w:t>
      </w:r>
    </w:p>
    <w:p>
      <w:pPr/>
      <w:r>
        <w:t>Se sua empresa precisa revisar os cadastros e organizar a próxima importação por DUIMP, conheça o serviço de Despacho Aduaneiro da ZollKlar e converse com nossa equipe sobre os pontos que precisam ser conferidos no seu processo.</w:t>
      </w:r>
    </w:p>
    <w:p>
      <w:pPr/>
      <w:hyperlink r:id="rId11">
        <w:r>
          <w:t>Conheça o serviço de Despacho Aduaneiro da ZollKlar</w:t>
        </w:r>
      </w:hyperlink>
    </w:p>
    <w:p>
      <w:pPr>
        <w:pStyle w:val="Heading2"/>
      </w:pPr>
      <w:r>
        <w:t>Fontes oficiais</w:t>
      </w:r>
    </w:p>
    <w:p>
      <w:pPr/>
      <w:hyperlink r:id="rId12">
        <w:r>
          <w:t>[1] Siscomex — Cronograma de Desligamento DI (atualizado em 02/10/2026)</w:t>
        </w:r>
      </w:hyperlink>
    </w:p>
    <w:p>
      <w:pPr/>
      <w:hyperlink r:id="rId13">
        <w:r>
          <w:t>[2] Siscomex — Notícia Importação nº 089/2026</w:t>
        </w:r>
      </w:hyperlink>
    </w:p>
    <w:p>
      <w:pPr/>
      <w:hyperlink r:id="rId14">
        <w:r>
          <w:t>[3] Receita Federal — Inclusão, edição e exclusão de item na DUIMP</w:t>
        </w:r>
      </w:hyperlink>
    </w:p>
    <w:p>
      <w:pPr/>
      <w:hyperlink r:id="rId15">
        <w:r>
          <w:t>[4] Siscomex — Manual do Catálogo de Produtos e Operador Estrangeiro</w:t>
        </w:r>
      </w:hyperlink>
    </w:p>
    <w:p>
      <w:pPr/>
      <w:hyperlink r:id="rId16">
        <w:r>
          <w:t>[5] Receita Federal — Reforma Tributária do Consumo no Manual da DUIMP, atualizado em 06/10/2026 às 15h28</w:t>
        </w:r>
      </w:hyperlink>
    </w:p>
    <w:p>
      <w:pPr/>
      <w:hyperlink r:id="rId17">
        <w:r>
          <w:t>[6] Planalto — Decreto nº 12.955/2026, regulamento da CBS, art. 80 e § 3º</w:t>
        </w:r>
      </w:hyperlink>
    </w:p>
    <w:p>
      <w:pPr/>
      <w:hyperlink r:id="rId18">
        <w:r>
          <w:t>[7] Siscomex — Notícia Sistemas nº 017/2026, publicada em 07/10/2026</w:t>
        </w:r>
      </w:hyperlink>
    </w:p>
    <w:p>
      <w:pPr/>
      <w:hyperlink r:id="rId19">
        <w:r>
          <w:t>[8] Siscomex — Notícia Importação nº 104/2026, publicada em 08/10/2026</w:t>
        </w:r>
      </w:hyperlink>
    </w:p>
    <w:p>
      <w:pPr/>
      <w:r>
        <w:t>Consulta às fontes: 11/10/2026. A possibilidade de uso da DUIMP para operações sujeitas à Suframa começa em 13/10/2026; o fluxo por DI continua seguindo LI enquanto aplicável. A parada programada de 12/10 é temporária. As recomendações de preparação operacional são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despacho-aduaneir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siscomex/pt-br/noticias/noticias-siscomex-importacao/Comunicados/importacao-no-2026-089" TargetMode="External"/><Relationship Id="rId14" Type="http://schemas.openxmlformats.org/officeDocument/2006/relationships/hyperlink" Target="https://www.gov.br/receitafederal/pt-br/assuntos/aduana-e-comercio-exterior/manuais/despacho-de-importacao/sistemas/duimp/elaboracao-da-duimp/inclusao-de-item" TargetMode="External"/><Relationship Id="rId15" Type="http://schemas.openxmlformats.org/officeDocument/2006/relationships/hyperlink" Target="https://www.gov.br/siscomex/pt-br/informacoes/manual-importador-catalogo-oper-estrang-classif-v15.pdf" TargetMode="External"/><Relationship Id="rId16" Type="http://schemas.openxmlformats.org/officeDocument/2006/relationships/hyperlink" Target="https://www.gov.br/receitafederal/pt-br/assuntos/aduana-e-comercio-exterior/manuais/despacho-de-importacao/sistemas/duimp/rtc" TargetMode="External"/><Relationship Id="rId17" Type="http://schemas.openxmlformats.org/officeDocument/2006/relationships/hyperlink" Target="https://www.planalto.gov.br/ccivil_03/_ato2023-2026/2026/decreto/d12955.htm" TargetMode="External"/><Relationship Id="rId18" Type="http://schemas.openxmlformats.org/officeDocument/2006/relationships/hyperlink" Target="https://www.gov.br/siscomex/pt-br/noticias/noticias-siscomex-sistemas/comunicados/sistemas-no-2026-017" TargetMode="External"/><Relationship Id="rId19" Type="http://schemas.openxmlformats.org/officeDocument/2006/relationships/hyperlink" Target="https://www.gov.br/siscomex/pt-br/noticias/noticias-siscomex-importacao/Comunicados/importacao-no-2026-104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