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ZollKlar | Primeiro conteúdo SEO sobre DUIMP</w:t>
      </w:r>
    </w:p>
    <w:p>
      <w:r>
        <w:t>Conteúdo DUIMP • Fontes oficiais verificadas em 06/10/2026</w:t>
      </w:r>
    </w:p>
    <w:p>
      <w:pPr>
        <w:pStyle w:val="Heading2"/>
      </w:pPr>
      <w:r>
        <w:t>Configuração SEO</w:t>
      </w:r>
    </w:p>
    <w:p>
      <w:r>
        <w:t>Título SEO: DUIMP: o que muda na importação em 2026 | ZollKlar</w:t>
      </w:r>
    </w:p>
    <w:p>
      <w:r>
        <w:t>Descrição: Entenda a DUIMP, a migração da DI e os novos campos de CBS e IBS. Veja o que revisar no Catálogo de Produtos e nos próximos processos de importação.</w:t>
      </w:r>
    </w:p>
    <w:p>
      <w:r>
        <w:t>Endereço do conteúdo: https://www.zollklar.com.br/duimp/</w:t>
      </w:r>
    </w:p>
    <w:p>
      <w:r>
        <w:t>Termo principal: DUIMP. Termos relacionados: Portal Único Siscomex, Catálogo de Produtos, LPCO, despacho aduaneiro e Reforma Tributária na importação.</w:t>
      </w:r>
    </w:p>
    <w:p>
      <w:r>
        <w:t>Intenção de busca: entender o que mudou e como preparar a próxima importação.</w:t>
      </w:r>
    </w:p>
    <w:p>
      <w:r>
        <w:t>Estrutura: H1 abaixo; H2 para cada seção do artigo. Categoria: DUIMP / Importação.</w:t>
      </w:r>
    </w:p>
    <w:p>
      <w:pPr>
        <w:pStyle w:val="Heading1"/>
      </w:pPr>
      <w:r>
        <w:t>DUIMP: o que muda na importação em 2026 e como preparar sua empresa</w:t>
      </w:r>
    </w:p>
    <w:p>
      <w:r>
        <w:t>Atualizado em 6 de outubro de 2026</w:t>
      </w:r>
    </w:p>
    <w:p>
      <w:r>
        <w:t>A DUIMP está substituindo a Declaração de Importação (DI) de forma gradual, conforme o cronograma do Portal Único Siscomex. A atualização anunciada para 27 de setembro de 2026 também adapta a declaração à Reforma Tributária do Consumo. Para a próxima importação, a empresa precisa conferir o enquadramento da operação e revisar os dados que alimentam a declaração. [1][2]</w:t>
      </w:r>
    </w:p>
    <w:p>
      <w:pPr>
        <w:pStyle w:val="Heading2"/>
      </w:pPr>
      <w:r>
        <w:t>O que é a DUIMP?</w:t>
      </w:r>
    </w:p>
    <w:p>
      <w:r>
        <w:t>DUIMP é a Declaração Única de Importação, utilizada no Novo Processo de Importação do Portal Único Siscomex. Na elaboração dos itens, o importador utiliza o Catálogo de Produtos, que reúne informações sobre mercadorias e operadores estrangeiros. [3][4]</w:t>
      </w:r>
    </w:p>
    <w:p>
      <w:r>
        <w:t>Na prática, isso torna o cadastro parte da preparação do despacho. Uma informação reutilizada em várias operações precisa representar corretamente o produto que será importado. Por isso, recomendamos conferir descrição técnica, classificação fiscal e dados do fabricante antes de elaborar a declaração.</w:t>
      </w:r>
    </w:p>
    <w:p>
      <w:pPr>
        <w:pStyle w:val="Heading2"/>
      </w:pPr>
      <w:r>
        <w:t>O que mudou: migração da DI e novos campos tributários</w:t>
      </w:r>
    </w:p>
    <w:p>
      <w:r>
        <w:t>A obrigatoriedade de DUIMP avança por operações. O cronograma oficial consultado foi atualizado em 02/10/2026 e deve ser lido junto das situações especiais e das operações indisponíveis. Uma Licença de Importação (LI) deferida, mas registrada após o desligamento da operação, não garante que uma DI poderá ser registrada. [1]</w:t>
      </w:r>
    </w:p>
    <w:p>
      <w:r>
        <w:t>Para a Reforma Tributária, o manual da Receita orienta informar UF e município do local da operação de consumo, além dos componentes da base de CBS e IBS não obtidos automaticamente da declaração. Se houver valores diferentes de zero nesses campos adicionais, deve ser anexada a memória de cálculo ao dossiê vinculado à DUIMP. [5]</w:t>
      </w:r>
    </w:p>
    <w:p>
      <w:r>
        <w:t>O cClassTrib, código de classificação tributária, passa a ser definido pelo sistema com base no fundamento legal. Os totais de CBS e IBS aparecem no resumo, mas a Receita orienta que esses valores não sejam recolhidos em 2026. [5]</w:t>
      </w:r>
    </w:p>
    <w:p>
      <w:pPr>
        <w:pStyle w:val="Heading2"/>
      </w:pPr>
      <w:r>
        <w:t>Quem é afetado?</w:t>
      </w:r>
    </w:p>
    <w:p>
      <w:r>
        <w:t>Importadores com operações já abrangidas pelo desligamento da DI precisam seguir o novo fluxo. Empresas que ainda utilizam DI também devem acompanhar o cronograma, especialmente quando a mercadoria depende de autorização de órgãos anuentes. Havendo mais de um anuente, o cronograma traz uma regra específica para o desligamento. [1]</w:t>
      </w:r>
    </w:p>
    <w:p>
      <w:r>
        <w:t>Na organização da empresa, a preparação envolve compras, equipe técnica, área fiscal e responsável pelo despacho. Quem compra conhece o fornecedor; quem especifica o produto tem os dados técnicos; quem acompanha o despacho precisa dessas informações consistentes para estruturar a operação.</w:t>
      </w:r>
    </w:p>
    <w:p>
      <w:pPr>
        <w:pStyle w:val="Heading2"/>
      </w:pPr>
      <w:r>
        <w:t>O que muda na prática para o importador?</w:t>
      </w:r>
    </w:p>
    <w:p>
      <w:r>
        <w:t>O Catálogo de Produtos permite reaproveitar informações nas declarações e nos LPCO — licenças, permissões, certificados e outros documentos — quando aplicáveis. O cadastro pode ser preparado antes da elaboração da DUIMP. A classificação fiscal continua sendo responsabilidade do importador. [4]</w:t>
      </w:r>
    </w:p>
    <w:p>
      <w:r>
        <w:t>Para uma máquina industrial, por exemplo, recomendamos reunir função, modelo e características técnicas antes de revisar a NCM e os atributos solicitados. Para um insumo químico ou alimentício, a equipe deve obter a documentação técnica necessária para identificar a mercadoria e avaliar o tratamento administrativo.</w:t>
      </w:r>
    </w:p>
    <w:p>
      <w:r>
        <w:t>O objetivo dessa preparação é evitar que dúvidas sobre o produto, o cadastro ou a documentação sejam descobertas apenas no momento do registro. Trata-se de uma recomendação de organização operacional; cada processo exige análise própria.</w:t>
      </w:r>
    </w:p>
    <w:p>
      <w:pPr>
        <w:pStyle w:val="Heading2"/>
      </w:pPr>
      <w:r>
        <w:t>O que fazer nos próximos processos de importação</w:t>
      </w:r>
    </w:p>
    <w:p>
      <w:pPr>
        <w:pStyle w:val="ListNumber"/>
      </w:pPr>
      <w:r>
        <w:t>Confira o enquadramento no cronograma vigente. Analise as características da operação, os anuentes e as exceções antes de definir o uso de DI ou DUIMP. [1]</w:t>
      </w:r>
    </w:p>
    <w:p>
      <w:pPr>
        <w:pStyle w:val="ListNumber"/>
      </w:pPr>
      <w:r>
        <w:t>Revise os produtos que serão utilizados. Confira NCM, descrição, atributos e operadores estrangeiros; organize quem poderá incluir e atualizar os cadastros. [3][4]</w:t>
      </w:r>
    </w:p>
    <w:p>
      <w:pPr>
        <w:pStyle w:val="ListNumber"/>
      </w:pPr>
      <w:r>
        <w:t>Verifique o tratamento administrativo. Identifique as autorizações aplicáveis e prepare os dados necessários ao LPCO, quando exigido. [4]</w:t>
      </w:r>
    </w:p>
    <w:p>
      <w:pPr>
        <w:pStyle w:val="ListNumber"/>
      </w:pPr>
      <w:r>
        <w:t>Alinhe o preenchimento tributário com a área fiscal. Valide o local da operação de consumo, o fundamento legal e a documentação dos valores adicionais. [5]</w:t>
      </w:r>
    </w:p>
    <w:p>
      <w:pPr>
        <w:pStyle w:val="ListNumber"/>
      </w:pPr>
      <w:r>
        <w:t>Faça uma conferência conjunta antes do registro. Compare cadastro, documentos comerciais e dados da operação; resolva as divergências e mantenha uma referência da versão utilizada.</w:t>
      </w:r>
    </w:p>
    <w:p>
      <w:pPr>
        <w:pStyle w:val="Heading2"/>
      </w:pPr>
      <w:r>
        <w:t>A DUIMP já é obrigatória para toda importação?</w:t>
      </w:r>
    </w:p>
    <w:p>
      <w:r>
        <w:t>Não. A resposta depende do cronograma e das condições da operação. Antes de cada registro, consulte a versão vigente e as situações especiais publicadas pelo Siscomex. [1]</w:t>
      </w:r>
    </w:p>
    <w:p>
      <w:pPr>
        <w:pStyle w:val="Heading2"/>
      </w:pPr>
      <w:r>
        <w:t>O Catálogo de Produtos substitui a análise de NCM?</w:t>
      </w:r>
    </w:p>
    <w:p>
      <w:r>
        <w:t>Não. O catálogo organiza as informações da mercadoria, mas não determina automaticamente a classificação fiscal correta. A NCM precisa ser analisada com base nas características do produto. [4]</w:t>
      </w:r>
    </w:p>
    <w:p>
      <w:pPr>
        <w:pStyle w:val="Heading2"/>
      </w:pPr>
      <w:r>
        <w:t>Apoio para preparar a próxima operação</w:t>
      </w:r>
    </w:p>
    <w:p>
      <w:r>
        <w:t>Se sua empresa precisa revisar os cadastros e organizar a próxima importação por DUIMP, conheça o serviço de Despacho Aduaneiro da ZollKlar e converse com nossa equipe sobre os pontos que precisam ser conferidos no seu processo.</w:t>
      </w:r>
    </w:p>
    <w:p>
      <w:hyperlink r:id="rId9">
        <w:r>
          <w:rPr>
            <w:color w:val="0563C1"/>
            <w:u w:val="single"/>
          </w:rPr>
          <w:t>Conheça o serviço de Despacho Aduaneiro da ZollKlar</w:t>
        </w:r>
      </w:hyperlink>
    </w:p>
    <w:p>
      <w:pPr>
        <w:pStyle w:val="Heading2"/>
      </w:pPr>
      <w:r>
        <w:t>Fontes oficiais</w:t>
      </w:r>
    </w:p>
    <w:p>
      <w:hyperlink r:id="rId10">
        <w:r>
          <w:rPr>
            <w:color w:val="0563C1"/>
            <w:u w:val="single"/>
          </w:rPr>
          <w:t>[1] Siscomex — Cronograma de Desligamento DI (atualizado em 02/10/2026)</w:t>
        </w:r>
      </w:hyperlink>
    </w:p>
    <w:p>
      <w:hyperlink r:id="rId11">
        <w:r>
          <w:rPr>
            <w:color w:val="0563C1"/>
            <w:u w:val="single"/>
          </w:rPr>
          <w:t>[2] Siscomex — Notícia Importação nº 089/2026</w:t>
        </w:r>
      </w:hyperlink>
    </w:p>
    <w:p>
      <w:hyperlink r:id="rId12">
        <w:r>
          <w:rPr>
            <w:color w:val="0563C1"/>
            <w:u w:val="single"/>
          </w:rPr>
          <w:t>[3] Receita Federal — Inclusão, edição e exclusão de item na DUIMP</w:t>
        </w:r>
      </w:hyperlink>
    </w:p>
    <w:p>
      <w:hyperlink r:id="rId13">
        <w:r>
          <w:rPr>
            <w:color w:val="0563C1"/>
            <w:u w:val="single"/>
          </w:rPr>
          <w:t>[4] Siscomex — Manual do Catálogo de Produtos e Operador Estrangeiro</w:t>
        </w:r>
      </w:hyperlink>
    </w:p>
    <w:p>
      <w:hyperlink r:id="rId14">
        <w:r>
          <w:rPr>
            <w:color w:val="0563C1"/>
            <w:u w:val="single"/>
          </w:rPr>
          <w:t>[5] Receita Federal — Reforma Tributária do Consumo no Manual da DUIMP</w:t>
        </w:r>
      </w:hyperlink>
    </w:p>
    <w:p>
      <w:r>
        <w:t>Consulta às fontes: 06/10/2026. As recomendações de preparação operacional são da ZollKlar, elaboradas a partir das orientações oficiais acima.</w:t>
      </w:r>
    </w:p>
    <w:sectPr w:rsidR="00FC693F" w:rsidRPr="0006063C" w:rsidSect="00034616">
      <w:pgSz w:w="12240" w:h="15840"/>
      <w:pgMar w:top="1008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zollklar.com.br/despacho-aduaneiro.html" TargetMode="External"/><Relationship Id="rId10" Type="http://schemas.openxmlformats.org/officeDocument/2006/relationships/hyperlink" Target="https://www.gov.br/siscomex/pt-br/programa-portal-unico/cronograma-de-desligamento-di" TargetMode="External"/><Relationship Id="rId11" Type="http://schemas.openxmlformats.org/officeDocument/2006/relationships/hyperlink" Target="https://www.gov.br/siscomex/pt-br/noticias/noticias-siscomex-importacao/Comunicados/importacao-no-2026-089" TargetMode="External"/><Relationship Id="rId12" Type="http://schemas.openxmlformats.org/officeDocument/2006/relationships/hyperlink" Target="https://www.gov.br/receitafederal/pt-br/assuntos/aduana-e-comercio-exterior/manuais/despacho-de-importacao/sistemas/duimp/elaboracao-da-duimp/inclusao-de-item" TargetMode="External"/><Relationship Id="rId13" Type="http://schemas.openxmlformats.org/officeDocument/2006/relationships/hyperlink" Target="https://www.gov.br/siscomex/pt-br/informacoes/manual-importador-catalogo-oper-estrang-classif-v15.pdf" TargetMode="External"/><Relationship Id="rId14" Type="http://schemas.openxmlformats.org/officeDocument/2006/relationships/hyperlink" Target="https://www.gov.br/receitafederal/pt-br/assuntos/aduana-e-comercio-exterior/manuais/despacho-de-importacao/sistemas/duimp/rtc" TargetMode="External"/><Relationship Id="rId15" Type="http://schemas.openxmlformats.org/officeDocument/2006/relationships/hyperlink" Target="https://docs.google.com/document/d/1jm67-N6aXA7xY76v5WXCAp4JwcsEThmx-Bp-JcLHh40/ed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