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DU-E em 2026: o que revisar antes do embarque e da averbação</w:t>
      </w:r>
    </w:p>
    <w:p>
      <w:r>
        <w:t>Fontes oficiais verificadas em 06/10/2026</w:t>
      </w:r>
    </w:p>
    <w:p>
      <w:r>
        <w:t>Título SEO: DU-E: exportação, LPCO e averbação em 2026 | ZollKlar</w:t>
      </w:r>
    </w:p>
    <w:p>
      <w:r>
        <w:t>Descrição: Entenda a DU-E, confira mudanças no LPCO e saiba o que revisar nos documentos, no embarque e na averbação da sua próxima exportação.</w:t>
      </w:r>
    </w:p>
    <w:p>
      <w:pPr/>
      <w:r>
        <w:t>A DU-E reúne as informações da exportação no Portal Único Siscomex, e sua preparação precisa considerar o tratamento administrativo de cada mercadoria. Entre as alterações publicadas em 2026, o Siscomex incluiu determinadas NCMs em LPCO do MAPA, sob condições específicas. Antes do próximo embarque, confira os dados da declaração, as autorizações aplicáveis e o acompanhamento até a averbação. [1][3]</w:t>
      </w:r>
    </w:p>
    <w:p>
      <w:pPr>
        <w:pStyle w:val="Heading2"/>
      </w:pPr>
      <w:r>
        <w:t>O que é a DU-E?</w:t>
      </w:r>
    </w:p>
    <w:p>
      <w:pPr/>
      <w:r>
        <w:t>DU-E é a Declaração Única de Exportação, documento eletrônico utilizado como base para o despacho aduaneiro de exportação. Ela reúne informações comerciais, fiscais, administrativas e logísticas que caracterizam a operação. [1]</w:t>
      </w:r>
    </w:p>
    <w:p>
      <w:pPr/>
      <w:r>
        <w:t>A declaração utiliza os dados básicos da nota fiscal eletrônica que a instrui, quando aplicável. A legislação também prevê situações de dispensa de nota fiscal. Por isso, o preenchimento deve refletir a forma de exportação e as características reais da operação. [1]</w:t>
      </w:r>
    </w:p>
    <w:p>
      <w:pPr>
        <w:pStyle w:val="Heading2"/>
      </w:pPr>
      <w:r>
        <w:t>O que mudou: um exemplo de atualização em 2026</w:t>
      </w:r>
    </w:p>
    <w:p>
      <w:pPr/>
      <w:r>
        <w:t>A Notícia Siscomex Exportação nº 022/2026, publicada em 05/08/2026, informou que, a partir de 07/08/2026, as NCMs 3504.00.90 e 4205.00.00 passaram a requerer os LPCO de certificação para produtos de origem animal indicados no comunicado, conforme o caso, quando o item da DU-E estiver enquadrado no código 80490. [3]</w:t>
      </w:r>
    </w:p>
    <w:p>
      <w:pPr/>
      <w:r>
        <w:t>O comunicado identifica os modelos E00061 e E00072, este último para embarque antecipado. A condição de enquadramento faz parte da regra: a notícia não estabelece a mesma exigência para todas as mercadorias dessas NCMs, independentemente da operação. [3]</w:t>
      </w:r>
    </w:p>
    <w:p>
      <w:pPr/>
      <w:r>
        <w:t>Esse é um exemplo de mudança já publicada, e não uma novidade de hoje. Ele mostra por que a revisão do tratamento administrativo deve acompanhar a preparação da declaração. Nesta primeira edição, as fontes foram consultadas em 06/10/2026.</w:t>
      </w:r>
    </w:p>
    <w:p>
      <w:pPr>
        <w:pStyle w:val="Heading2"/>
      </w:pPr>
      <w:r>
        <w:t>Quem é afetado?</w:t>
      </w:r>
    </w:p>
    <w:p>
      <w:pPr/>
      <w:r>
        <w:t>Exportadores, declarantes e equipes que preparam documentos ou coordenam o embarque precisam conferir as regras aplicáveis ao produto e à operação. No exemplo do MAPA, o alcance depende das NCMs e do enquadramento descritos na notícia. [1][3]</w:t>
      </w:r>
    </w:p>
    <w:p>
      <w:pPr/>
      <w:r>
        <w:t>Como organização operacional, recomendamos dividir a conferência entre a equipe que emite a nota fiscal, quem conhece as características técnicas da mercadoria e quem acompanha o despacho. Isso ajuda a resolver divergências antes de levar os dados ao Portal Único.</w:t>
      </w:r>
    </w:p>
    <w:p>
      <w:pPr>
        <w:pStyle w:val="Heading2"/>
      </w:pPr>
      <w:r>
        <w:t>O que muda na prática: documentação e LPCO</w:t>
      </w:r>
    </w:p>
    <w:p>
      <w:pPr/>
      <w:r>
        <w:t>O manual oficial orienta consultar o tratamento administrativo para identificar a necessidade de LPCO — licenças, permissões, certificados e outros documentos. Quando aplicável, o número do LPCO é informado no item correspondente da DU-E. O diagnóstico da declaração aponta inconsistências e campos obrigatórios ausentes. [2]</w:t>
      </w:r>
    </w:p>
    <w:p>
      <w:pPr/>
      <w:r>
        <w:t>Recomendamos comparar nota fiscal, descrição técnica, NCM, quantidades, unidades e documentos comerciais. Para uma máquina industrial, por exemplo, função e modelo precisam estar claros; para um produto sujeito a controle sanitário, a documentação deve permitir analisar os requisitos da operação.</w:t>
      </w:r>
    </w:p>
    <w:p>
      <w:pPr/>
      <w:r>
        <w:t>O diagnóstico do sistema é uma etapa de conferência. A empresa também precisa revisar se o que foi informado representa a mercadoria e o enquadramento aplicável. Um dado formalmente aceito pode ainda exigir análise técnica ou documental.</w:t>
      </w:r>
    </w:p>
    <w:p>
      <w:pPr>
        <w:pStyle w:val="Heading2"/>
      </w:pPr>
      <w:r>
        <w:t>Desembaraço e averbação: por que acompanhar as duas etapas?</w:t>
      </w:r>
    </w:p>
    <w:p>
      <w:pPr/>
      <w:r>
        <w:t>O desembaraço, por si só, não comprova a efetiva exportação da mercadoria para o exterior. A Receita Federal explica que a DU-E averbada atesta a exportação para fins fiscais, cambiais e comerciais. [4]</w:t>
      </w:r>
    </w:p>
    <w:p>
      <w:pPr/>
      <w:r>
        <w:t>A averbação automática depende de condições como DU-E desembaraçada, trânsito aduaneiro concluído quando houver, ocorrência do evento CCE — carga completamente exportada — e inexistência de exigências fiscais ativas. Quando não ocorrer automaticamente, o manual prevê atuação da fiscalização e eventual correção das informações pertinentes. [4]</w:t>
      </w:r>
    </w:p>
    <w:p>
      <w:pPr/>
      <w:r>
        <w:t>Na rotina, recomendamos acompanhar a situação da declaração após o embarque e manter contato com os responsáveis pelos dados de transporte. Se houver pendência, identifique sua origem antes de providenciar uma correção. Não considere o processo concluído apenas porque a carga saiu do recinto.</w:t>
      </w:r>
    </w:p>
    <w:p>
      <w:pPr>
        <w:pStyle w:val="Heading2"/>
      </w:pPr>
      <w:r>
        <w:t>O que fazer nos próximos processos de exportação</w:t>
      </w:r>
    </w:p>
    <w:p>
      <w:pPr>
        <w:pStyle w:val="ListNumber"/>
      </w:pPr>
      <w:r>
        <w:t>Revise a mercadoria e os documentos. Confira descrição, NCM, quantidades e unidades, comparando a nota fiscal com a documentação comercial e técnica.</w:t>
      </w:r>
    </w:p>
    <w:p>
      <w:pPr>
        <w:pStyle w:val="ListNumber"/>
      </w:pPr>
      <w:r>
        <w:t>Consulte o tratamento administrativo vigente. Verifique produto, destino, enquadramento e autorizações exigidas para a operação. [2]</w:t>
      </w:r>
    </w:p>
    <w:p>
      <w:pPr>
        <w:pStyle w:val="ListNumber"/>
      </w:pPr>
      <w:r>
        <w:t>Confira o LPCO, quando aplicável. Revise os dados e a vinculação ao item correspondente da DU-E, observando as condições do órgão anuente. [2]</w:t>
      </w:r>
    </w:p>
    <w:p>
      <w:pPr>
        <w:pStyle w:val="ListNumber"/>
      </w:pPr>
      <w:r>
        <w:t>Faça o diagnóstico e trate as divergências. Resolva as inconsistências apontadas pelo sistema e conclua a conferência documental antes de avançar. [2]</w:t>
      </w:r>
    </w:p>
    <w:p>
      <w:pPr>
        <w:pStyle w:val="ListNumber"/>
      </w:pPr>
      <w:r>
        <w:t>Acompanhe o pós-embarque. Verifique dados de transporte, eventuais pendências e a situação da DU-E até a averbação. [4]</w:t>
      </w:r>
    </w:p>
    <w:p>
      <w:pPr>
        <w:pStyle w:val="Heading2"/>
      </w:pPr>
      <w:r>
        <w:t>Toda exportação exige LPCO?</w:t>
      </w:r>
    </w:p>
    <w:p>
      <w:pPr/>
      <w:r>
        <w:t>Não. A necessidade depende do tratamento administrativo aplicável à mercadoria e às condições da operação. Consulte a exigência vigente em vez de repetir automaticamente o procedimento de um embarque anterior. [2]</w:t>
      </w:r>
    </w:p>
    <w:p>
      <w:pPr>
        <w:pStyle w:val="Heading2"/>
      </w:pPr>
      <w:r>
        <w:t>A DU-E registrada significa que a exportação terminou?</w:t>
      </w:r>
    </w:p>
    <w:p>
      <w:pPr/>
      <w:r>
        <w:t>Não. O registro faz parte do fluxo. Para as exportações com saída física da mercadoria, é necessário acompanhar as etapas posteriores e a confirmação da exportação pela averbação. [4]</w:t>
      </w:r>
    </w:p>
    <w:p>
      <w:pPr>
        <w:pStyle w:val="Heading2"/>
      </w:pPr>
      <w:r>
        <w:t>Apoio para organizar a próxima exportação</w:t>
      </w:r>
    </w:p>
    <w:p>
      <w:pPr/>
      <w:r>
        <w:t>Se sua empresa precisa conferir documentos, analisar as autorizações e acompanhar a DU-E até a averbação, conheça o serviço de Exportação da ZollKlar. Nossa equipe pode avaliar os pontos que exigem atenção no seu processo.</w:t>
      </w:r>
    </w:p>
    <w:p>
      <w:pPr/>
      <w:hyperlink r:id="rId11">
        <w:r>
          <w:t>Conheça o serviço de Exportação da ZollKlar</w:t>
        </w:r>
      </w:hyperlink>
    </w:p>
    <w:p>
      <w:pPr/>
      <w:hyperlink r:id="rId12">
        <w:r>
          <w:t>Veja também o serviço de Despacho Aduaneiro</w:t>
        </w:r>
      </w:hyperlink>
    </w:p>
    <w:p>
      <w:pPr>
        <w:pStyle w:val="Heading2"/>
      </w:pPr>
      <w:r>
        <w:t>Fontes oficiais</w:t>
      </w:r>
    </w:p>
    <w:p>
      <w:pPr/>
      <w:hyperlink r:id="rId13">
        <w:r>
          <w:t>[1] Receita Federal — A Declaração Única de Exportação (DU-E)</w:t>
        </w:r>
      </w:hyperlink>
    </w:p>
    <w:p>
      <w:pPr/>
      <w:hyperlink r:id="rId14">
        <w:r>
          <w:t>[2] Siscomex — Manual de Preenchimento da DU-E, versão de 09/07/2026</w:t>
        </w:r>
      </w:hyperlink>
    </w:p>
    <w:p>
      <w:pPr/>
      <w:hyperlink r:id="rId15">
        <w:r>
          <w:t>[3] Siscomex — Notícia Exportação nº 022/2026, publicada em 05/08/2026</w:t>
        </w:r>
      </w:hyperlink>
    </w:p>
    <w:p>
      <w:pPr/>
      <w:hyperlink r:id="rId16">
        <w:r>
          <w:t>[4] Receita Federal — Averbação de Embarque</w:t>
        </w:r>
      </w:hyperlink>
    </w:p>
    <w:p>
      <w:pPr/>
      <w:r>
        <w:t>Consulta às fontes: 06/10/2026. As recomendações de organização operacional são da ZollKlar, elaboradas a partir das orientações oficiais citadas. A exigência de cada processo deve ser conferida nas fontes vigentes.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68" w:right="1134" w:bottom="2041" w:left="1134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20"/>
      <w:jc w:val="center"/>
    </w:pPr>
    <w:r>
      <w:rPr>
        <w:rFonts w:ascii="Calibri" w:hAnsi="Calibri"/>
        <w:b/>
        <w:sz w:val="16"/>
      </w:rPr>
      <w:t>MATRIZ • CNPJ 08.405.195/0001-61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Avenida do Oratório, 4449 — Salas 18 e 20, Vila Industrial, São Paulo/SP — CEP 03221-200</w:t>
    </w:r>
  </w:p>
  <w:p>
    <w:pPr>
      <w:spacing w:after="20"/>
      <w:jc w:val="center"/>
    </w:pPr>
    <w:r>
      <w:rPr>
        <w:rFonts w:ascii="Calibri" w:hAnsi="Calibri"/>
        <w:b/>
        <w:sz w:val="16"/>
      </w:rPr>
      <w:t>FILIAL • CNPJ 08.405.195/0002-42</w:t>
    </w:r>
  </w:p>
  <w:p>
    <w:pPr>
      <w:spacing w:after="20"/>
      <w:jc w:val="center"/>
    </w:pPr>
    <w:r>
      <w:rPr>
        <w:rFonts w:ascii="Calibri" w:hAnsi="Calibri"/>
        <w:b w:val="0"/>
        <w:sz w:val="16"/>
      </w:rPr>
      <w:t>Rua Lauro Muller, 950 — Sala 01, Fazenda, Itajaí/SC — CEP 88301-401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www.zollklar.com.br</w:t>
    </w:r>
  </w:p>
  <w:p>
    <w:pPr>
      <w:spacing w:after="0"/>
      <w:jc w:val="center"/>
    </w:pPr>
    <w:r>
      <w:rPr>
        <w:sz w:val="16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8107"/>
      <w:gridCol w:w="1531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800000" cy="6075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075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27999" cy="689999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7999" cy="68999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/>
    </w:pPr>
    <w:r>
      <w:rPr>
        <w:b/>
        <w:color w:val="0B2340"/>
        <w:sz w:val="20"/>
      </w:rPr>
      <w:t>ZollKlar Logística Global Integrada</w:t>
    </w:r>
  </w:p>
  <w:p>
    <w:pPr>
      <w:spacing w:after="0"/>
    </w:pPr>
    <w:r>
      <w:rPr>
        <w:sz w:val="18"/>
      </w:rPr>
      <w:t>ZollKlar Logistics Global Group Ltda.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zollklar.com.br/exportacao.html" TargetMode="External"/><Relationship Id="rId12" Type="http://schemas.openxmlformats.org/officeDocument/2006/relationships/hyperlink" Target="https://www.zollklar.com.br/despacho-aduaneiro.html" TargetMode="External"/><Relationship Id="rId13" Type="http://schemas.openxmlformats.org/officeDocument/2006/relationships/hyperlink" Target="https://www.gov.br/receitafederal/pt-br/assuntos/aduana-e-comercio-exterior/manuais/exportacao-portal-unico/introducao/a_declaracao_unica_de_exportacao_due" TargetMode="External"/><Relationship Id="rId14" Type="http://schemas.openxmlformats.org/officeDocument/2006/relationships/hyperlink" Target="https://www.gov.br/siscomex/pt-br/informacoes/manual-de-preenchimento-du-e-v25.pdf" TargetMode="External"/><Relationship Id="rId15" Type="http://schemas.openxmlformats.org/officeDocument/2006/relationships/hyperlink" Target="https://www.gov.br/siscomex/pt-br/noticias/noticias-siscomex-exportacao/comunicados/exportacao-no-2026-022" TargetMode="External"/><Relationship Id="rId16" Type="http://schemas.openxmlformats.org/officeDocument/2006/relationships/hyperlink" Target="https://www.gov.br/receitafederal/pt-br/assuntos/aduana-e-comercio-exterior/manuais/exportacao-portal-unico/averbacao-de-embarque-1/averbacao-de-embarque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